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4474" w:rsidRPr="00F00CC9" w:rsidRDefault="00F00CC9" w:rsidP="00D81894">
      <w:pPr>
        <w:autoSpaceDE w:val="0"/>
        <w:autoSpaceDN w:val="0"/>
        <w:adjustRightInd w:val="0"/>
        <w:spacing w:after="0" w:line="240" w:lineRule="auto"/>
        <w:ind w:left="-851"/>
        <w:jc w:val="left"/>
        <w:rPr>
          <w:rFonts w:eastAsiaTheme="minorHAnsi"/>
          <w:b/>
          <w:color w:val="000000"/>
          <w:lang w:eastAsia="en-US"/>
        </w:rPr>
      </w:pPr>
      <w:r w:rsidRPr="00F00CC9">
        <w:rPr>
          <w:rFonts w:eastAsiaTheme="minorHAnsi"/>
          <w:b/>
          <w:color w:val="000000"/>
          <w:lang w:eastAsia="en-US"/>
        </w:rPr>
        <w:t xml:space="preserve">23. </w:t>
      </w:r>
      <w:r w:rsidR="00D81894" w:rsidRPr="00F00CC9">
        <w:rPr>
          <w:rFonts w:eastAsiaTheme="minorHAnsi"/>
          <w:b/>
          <w:color w:val="000000"/>
          <w:lang w:eastAsia="en-US"/>
        </w:rPr>
        <w:t>Επιμέτρηση αποθεμάτων και</w:t>
      </w:r>
      <w:r w:rsidR="00D81894">
        <w:rPr>
          <w:rFonts w:eastAsiaTheme="minorHAnsi"/>
          <w:b/>
          <w:color w:val="000000"/>
          <w:lang w:eastAsia="en-US"/>
        </w:rPr>
        <w:t xml:space="preserve"> </w:t>
      </w:r>
      <w:r w:rsidR="00D81894" w:rsidRPr="00F00CC9">
        <w:rPr>
          <w:rFonts w:eastAsiaTheme="minorHAnsi"/>
          <w:b/>
          <w:color w:val="000000"/>
          <w:lang w:eastAsia="en-US"/>
        </w:rPr>
        <w:t>υπηρεσιών</w:t>
      </w:r>
      <w:r w:rsidR="00D81894">
        <w:rPr>
          <w:rFonts w:eastAsiaTheme="minorHAnsi"/>
          <w:b/>
          <w:color w:val="000000"/>
          <w:lang w:eastAsia="en-US"/>
        </w:rPr>
        <w:t xml:space="preserve"> με βάση το ά</w:t>
      </w:r>
      <w:r w:rsidR="00E54474" w:rsidRPr="00F00CC9">
        <w:rPr>
          <w:rFonts w:eastAsiaTheme="minorHAnsi"/>
          <w:b/>
          <w:color w:val="000000"/>
          <w:lang w:eastAsia="en-US"/>
        </w:rPr>
        <w:t>ρθρο 20 του Ν. 4308/ΦΕΚ Α΄ 251/24.11.2014-Ε.Λ.Π.</w:t>
      </w:r>
      <w:r w:rsidRPr="00F00CC9">
        <w:rPr>
          <w:rFonts w:eastAsiaTheme="minorHAnsi"/>
          <w:b/>
          <w:color w:val="000000"/>
          <w:lang w:eastAsia="en-US"/>
        </w:rPr>
        <w:t xml:space="preserve"> </w:t>
      </w:r>
    </w:p>
    <w:p w:rsidR="00F00CC9" w:rsidRDefault="00F00CC9" w:rsidP="00E54474">
      <w:pPr>
        <w:autoSpaceDE w:val="0"/>
        <w:autoSpaceDN w:val="0"/>
        <w:adjustRightInd w:val="0"/>
        <w:spacing w:after="0" w:line="240" w:lineRule="auto"/>
        <w:ind w:left="-851"/>
        <w:jc w:val="left"/>
        <w:rPr>
          <w:rFonts w:eastAsiaTheme="minorHAnsi"/>
          <w:b/>
          <w:color w:val="000000"/>
          <w:lang w:eastAsia="en-US"/>
        </w:rPr>
      </w:pPr>
    </w:p>
    <w:p w:rsidR="00E54474" w:rsidRDefault="00E54474" w:rsidP="00E54474">
      <w:pPr>
        <w:autoSpaceDE w:val="0"/>
        <w:autoSpaceDN w:val="0"/>
        <w:adjustRightInd w:val="0"/>
        <w:spacing w:after="0" w:line="240" w:lineRule="auto"/>
        <w:ind w:left="-851"/>
        <w:jc w:val="left"/>
        <w:rPr>
          <w:rFonts w:eastAsiaTheme="minorHAnsi"/>
          <w:b/>
          <w:color w:val="000000"/>
          <w:lang w:eastAsia="en-US"/>
        </w:rPr>
      </w:pPr>
      <w:r>
        <w:rPr>
          <w:rFonts w:eastAsiaTheme="minorHAnsi"/>
          <w:b/>
          <w:color w:val="000000"/>
          <w:lang w:eastAsia="en-US"/>
        </w:rPr>
        <w:t>1. Εννοιολογικά και ερμηνευτικά θέματα του άρθρου 20 του νόμου</w:t>
      </w:r>
    </w:p>
    <w:p w:rsidR="00DF2538" w:rsidRDefault="00DF2538" w:rsidP="00DF2538">
      <w:pPr>
        <w:pStyle w:val="Default"/>
        <w:ind w:left="-851"/>
        <w:rPr>
          <w:rFonts w:ascii="Arial" w:hAnsi="Arial" w:cs="Arial"/>
          <w:b/>
        </w:rPr>
      </w:pPr>
    </w:p>
    <w:p w:rsidR="00DF2538" w:rsidRPr="00DF2538" w:rsidRDefault="00DF2538" w:rsidP="00DF2538">
      <w:pPr>
        <w:pStyle w:val="Default"/>
        <w:ind w:left="-851"/>
        <w:rPr>
          <w:b/>
        </w:rPr>
      </w:pPr>
      <w:r w:rsidRPr="00DF2538">
        <w:rPr>
          <w:b/>
        </w:rPr>
        <w:t>Γενικά</w:t>
      </w:r>
      <w:bookmarkStart w:id="0" w:name="_GoBack"/>
      <w:bookmarkEnd w:id="0"/>
    </w:p>
    <w:p w:rsidR="00DF2538" w:rsidRPr="00DF2538" w:rsidRDefault="00DF2538" w:rsidP="00DF2538">
      <w:pPr>
        <w:pStyle w:val="Default"/>
        <w:ind w:left="-851"/>
        <w:rPr>
          <w:b/>
        </w:rPr>
      </w:pPr>
    </w:p>
    <w:p w:rsidR="00DF2538" w:rsidRPr="00DF2538" w:rsidRDefault="00DF2538" w:rsidP="00DF2538">
      <w:pPr>
        <w:pStyle w:val="Default"/>
        <w:ind w:left="-851"/>
      </w:pPr>
      <w:r w:rsidRPr="00DF2538">
        <w:t xml:space="preserve">Το άρθρο 20 καθορίζει τους κανόνες προσδιορισμού του κόστους κτήσης αποθεμάτων και υπηρεσιών,  καθώς και της μεταγενέστερης επιμέτρησης τους. </w:t>
      </w:r>
    </w:p>
    <w:p w:rsidR="00DF2538" w:rsidRPr="00DF2538" w:rsidRDefault="00DF2538" w:rsidP="00DF2538">
      <w:pPr>
        <w:pStyle w:val="Default"/>
        <w:ind w:left="-851"/>
      </w:pPr>
      <w:r w:rsidRPr="00DF2538">
        <w:rPr>
          <w:b/>
          <w:bCs/>
          <w:iCs/>
        </w:rPr>
        <w:t xml:space="preserve">Κύρια σημεία </w:t>
      </w:r>
    </w:p>
    <w:p w:rsidR="00DF2538" w:rsidRPr="00DF2538" w:rsidRDefault="00DF2538" w:rsidP="00DF2538">
      <w:pPr>
        <w:pStyle w:val="Default"/>
        <w:ind w:left="-851"/>
      </w:pPr>
      <w:r w:rsidRPr="00DF2538">
        <w:t xml:space="preserve">• Αναγνωρίζονται αρχικά τα αποθέματα στο κόστος κτήσης. </w:t>
      </w:r>
    </w:p>
    <w:p w:rsidR="00DF2538" w:rsidRPr="00DF2538" w:rsidRDefault="00DF2538" w:rsidP="00DF2538">
      <w:pPr>
        <w:pStyle w:val="Default"/>
        <w:ind w:left="-851"/>
      </w:pPr>
      <w:r w:rsidRPr="00DF2538">
        <w:t>• Προσδιορίζεται το κόστος κτήσης του τελικού αποθέματος με βάση τη μέθοδο «</w:t>
      </w:r>
      <w:r w:rsidRPr="00DF2538">
        <w:rPr>
          <w:iCs/>
        </w:rPr>
        <w:t>Πρώτο Εισαχθέν-Πρώτο Εξαχθέν</w:t>
      </w:r>
      <w:r w:rsidRPr="00DF2538">
        <w:t>» (FIFO) ή τη μέθοδο του μέσου σταθμικού όρου ή άλλη τεκμηριωμένα γενικά αποδεκτή μέθοδο. Δεν επιτρέπεται η χρήση της μεθόδου «</w:t>
      </w:r>
      <w:r w:rsidRPr="00DF2538">
        <w:rPr>
          <w:iCs/>
        </w:rPr>
        <w:t>Τελευταίο Εισαχθέν-Πρώτο Εξαχθέν</w:t>
      </w:r>
      <w:r w:rsidRPr="00DF2538">
        <w:t xml:space="preserve">» (LIFO). </w:t>
      </w:r>
    </w:p>
    <w:p w:rsidR="00DF2538" w:rsidRPr="00DF2538" w:rsidRDefault="00DF2538" w:rsidP="00DF2538">
      <w:pPr>
        <w:pStyle w:val="Default"/>
        <w:ind w:left="-851"/>
      </w:pPr>
      <w:r w:rsidRPr="00DF2538">
        <w:t xml:space="preserve">• Εισάγεται ο κανόνας, η μεταγενέστερη επιμέτρηση του αποθέματος να γίνεται στη χαμηλότερη αξία μεταξύ της αξίας κτήσης και της καθαρής ρευστοποιήσιμης αξίας. </w:t>
      </w:r>
    </w:p>
    <w:p w:rsidR="00DF2538" w:rsidRPr="00DF2538" w:rsidRDefault="00DF2538" w:rsidP="00DF2538">
      <w:pPr>
        <w:pStyle w:val="Default"/>
        <w:ind w:left="-851"/>
        <w:rPr>
          <w:b/>
        </w:rPr>
      </w:pPr>
      <w:r w:rsidRPr="00DF2538">
        <w:rPr>
          <w:b/>
          <w:iCs/>
        </w:rPr>
        <w:t xml:space="preserve">Με τον K.Ν.2190/1920 η σύγκριση γινόταν μεταξύ κόστους κτήσης και τρέχουσας αξίας, και εάν η τρέχουσα αξία ήταν χαμηλότερη της κτήσης γινόταν σύγκριση με την καθαρή ρευστοποιήσιμη αξία. </w:t>
      </w:r>
    </w:p>
    <w:p w:rsidR="00DF2538" w:rsidRPr="00DF2538" w:rsidRDefault="00DF2538" w:rsidP="00DF2538">
      <w:pPr>
        <w:pStyle w:val="Default"/>
        <w:ind w:left="-851"/>
      </w:pPr>
      <w:r w:rsidRPr="00DF2538">
        <w:t xml:space="preserve">• Ορίζεται πως οι αγορές των αναλώσιμων υλικών που δεν είναι σημαντικές για το μέγεθος της οντότητας μπορούν να αντιμετωπίζονται ως έξοδα περιόδου. </w:t>
      </w:r>
    </w:p>
    <w:p w:rsidR="00DF2538" w:rsidRPr="00DF2538" w:rsidRDefault="00DF2538" w:rsidP="00DF2538">
      <w:pPr>
        <w:pStyle w:val="Default"/>
        <w:ind w:left="-851"/>
        <w:rPr>
          <w:b/>
          <w:iCs/>
        </w:rPr>
      </w:pPr>
      <w:r w:rsidRPr="00DF2538">
        <w:rPr>
          <w:b/>
          <w:iCs/>
        </w:rPr>
        <w:t xml:space="preserve">Δεν αποσαφηνίζεται όμως το μέγεθος της σημαντικότητας. </w:t>
      </w:r>
    </w:p>
    <w:p w:rsidR="00DF2538" w:rsidRPr="00DF2538" w:rsidRDefault="00DF2538" w:rsidP="00DF2538">
      <w:pPr>
        <w:pStyle w:val="Default"/>
        <w:ind w:left="-851"/>
      </w:pPr>
      <w:r w:rsidRPr="00DF2538">
        <w:rPr>
          <w:b/>
          <w:iCs/>
        </w:rPr>
        <w:t xml:space="preserve">• </w:t>
      </w:r>
      <w:r w:rsidRPr="00DF2538">
        <w:rPr>
          <w:iCs/>
        </w:rPr>
        <w:t>Δυνητική ευχέρεια επίρριψης κόστους δανεισμού</w:t>
      </w:r>
      <w:r w:rsidRPr="00DF2538">
        <w:rPr>
          <w:b/>
          <w:iCs/>
        </w:rPr>
        <w:t xml:space="preserve"> </w:t>
      </w:r>
      <w:r w:rsidRPr="00DF2538">
        <w:rPr>
          <w:iCs/>
        </w:rPr>
        <w:t>στα αποθέματα εκείνα για τα οποία απαιτείται σημαντική περίοδος χρόνου για να καταστούν έτοιμα για την προοριζόμενη χρήση ή την πώλησή τους.</w:t>
      </w:r>
    </w:p>
    <w:p w:rsidR="00E54474" w:rsidRDefault="00E54474" w:rsidP="00E54474">
      <w:pPr>
        <w:autoSpaceDE w:val="0"/>
        <w:autoSpaceDN w:val="0"/>
        <w:adjustRightInd w:val="0"/>
        <w:spacing w:after="0" w:line="240" w:lineRule="auto"/>
        <w:ind w:left="-851"/>
        <w:jc w:val="left"/>
        <w:rPr>
          <w:rFonts w:eastAsiaTheme="minorHAnsi"/>
          <w:color w:val="000000"/>
          <w:lang w:eastAsia="en-US"/>
        </w:rPr>
      </w:pPr>
    </w:p>
    <w:p w:rsidR="00E54474" w:rsidRDefault="00E54474" w:rsidP="00E54474">
      <w:pPr>
        <w:autoSpaceDE w:val="0"/>
        <w:autoSpaceDN w:val="0"/>
        <w:adjustRightInd w:val="0"/>
        <w:spacing w:after="0" w:line="240" w:lineRule="auto"/>
        <w:ind w:left="-851"/>
        <w:jc w:val="left"/>
        <w:rPr>
          <w:rFonts w:eastAsiaTheme="minorHAnsi"/>
          <w:b/>
          <w:bCs/>
          <w:color w:val="C00000"/>
          <w:lang w:eastAsia="en-US"/>
        </w:rPr>
      </w:pPr>
      <w:r>
        <w:rPr>
          <w:b/>
          <w:color w:val="FF0000"/>
        </w:rPr>
        <w:t xml:space="preserve">1.1 </w:t>
      </w:r>
      <w:r>
        <w:rPr>
          <w:rFonts w:eastAsiaTheme="minorHAnsi"/>
          <w:b/>
          <w:bCs/>
          <w:color w:val="C00000"/>
          <w:lang w:eastAsia="en-US"/>
        </w:rPr>
        <w:t>Αρχική αναγνώριση αποθεμάτων</w:t>
      </w:r>
    </w:p>
    <w:p w:rsidR="00E54474" w:rsidRDefault="00E54474" w:rsidP="00E54474">
      <w:pPr>
        <w:autoSpaceDE w:val="0"/>
        <w:autoSpaceDN w:val="0"/>
        <w:adjustRightInd w:val="0"/>
        <w:spacing w:after="0" w:line="240" w:lineRule="auto"/>
        <w:ind w:left="-851"/>
        <w:jc w:val="left"/>
        <w:rPr>
          <w:rFonts w:eastAsiaTheme="minorHAnsi"/>
          <w:color w:val="000000"/>
          <w:lang w:eastAsia="en-US"/>
        </w:rPr>
      </w:pPr>
    </w:p>
    <w:p w:rsidR="00E54474" w:rsidRDefault="00E54474" w:rsidP="00E54474">
      <w:pPr>
        <w:autoSpaceDE w:val="0"/>
        <w:autoSpaceDN w:val="0"/>
        <w:adjustRightInd w:val="0"/>
        <w:spacing w:after="0" w:line="240" w:lineRule="auto"/>
        <w:ind w:left="-851"/>
        <w:jc w:val="left"/>
        <w:rPr>
          <w:rFonts w:eastAsiaTheme="minorHAnsi"/>
          <w:color w:val="000000"/>
          <w:lang w:eastAsia="en-US"/>
        </w:rPr>
      </w:pPr>
      <w:r>
        <w:rPr>
          <w:rFonts w:eastAsiaTheme="minorHAnsi"/>
          <w:color w:val="000000"/>
          <w:lang w:eastAsia="en-US"/>
        </w:rPr>
        <w:t xml:space="preserve">• Αναγνωρίζονται αρχικά </w:t>
      </w:r>
      <w:r>
        <w:rPr>
          <w:rFonts w:eastAsiaTheme="minorHAnsi"/>
          <w:b/>
          <w:bCs/>
          <w:color w:val="000000"/>
          <w:lang w:eastAsia="en-US"/>
        </w:rPr>
        <w:t>στο κόστος κτήσης.</w:t>
      </w:r>
    </w:p>
    <w:p w:rsidR="00E54474" w:rsidRDefault="00E54474" w:rsidP="00E54474">
      <w:pPr>
        <w:autoSpaceDE w:val="0"/>
        <w:autoSpaceDN w:val="0"/>
        <w:adjustRightInd w:val="0"/>
        <w:spacing w:after="0" w:line="240" w:lineRule="auto"/>
        <w:ind w:left="-851"/>
        <w:jc w:val="left"/>
        <w:rPr>
          <w:rFonts w:eastAsiaTheme="minorHAnsi"/>
          <w:color w:val="000000"/>
          <w:lang w:eastAsia="en-US"/>
        </w:rPr>
      </w:pPr>
      <w:r>
        <w:rPr>
          <w:rFonts w:eastAsiaTheme="minorHAnsi"/>
          <w:color w:val="000000"/>
          <w:lang w:eastAsia="en-US"/>
        </w:rPr>
        <w:t xml:space="preserve">• </w:t>
      </w:r>
      <w:r>
        <w:rPr>
          <w:rFonts w:eastAsiaTheme="minorHAnsi"/>
          <w:b/>
          <w:bCs/>
          <w:color w:val="000000"/>
          <w:lang w:eastAsia="en-US"/>
        </w:rPr>
        <w:t xml:space="preserve">Το κόστος κτήσης περιλαμβάνει </w:t>
      </w:r>
      <w:r>
        <w:rPr>
          <w:rFonts w:eastAsiaTheme="minorHAnsi"/>
          <w:color w:val="000000"/>
          <w:lang w:eastAsia="en-US"/>
        </w:rPr>
        <w:t>το σύνολο των δαπανών που απαιτούνται για να φθάσουν στην παρούσα θέση και κατάστασή τους.</w:t>
      </w:r>
    </w:p>
    <w:p w:rsidR="00E54474" w:rsidRDefault="00E54474" w:rsidP="00E54474">
      <w:pPr>
        <w:autoSpaceDE w:val="0"/>
        <w:autoSpaceDN w:val="0"/>
        <w:adjustRightInd w:val="0"/>
        <w:spacing w:after="0" w:line="240" w:lineRule="auto"/>
        <w:ind w:left="-851"/>
        <w:jc w:val="left"/>
        <w:rPr>
          <w:rFonts w:eastAsiaTheme="minorHAnsi"/>
          <w:color w:val="000000"/>
          <w:lang w:eastAsia="en-US"/>
        </w:rPr>
      </w:pPr>
      <w:r>
        <w:rPr>
          <w:rFonts w:eastAsiaTheme="minorHAnsi"/>
          <w:color w:val="000000"/>
          <w:lang w:eastAsia="en-US"/>
        </w:rPr>
        <w:t xml:space="preserve"> </w:t>
      </w:r>
    </w:p>
    <w:p w:rsidR="00E54474" w:rsidRDefault="00E54474" w:rsidP="00E54474">
      <w:pPr>
        <w:autoSpaceDE w:val="0"/>
        <w:autoSpaceDN w:val="0"/>
        <w:adjustRightInd w:val="0"/>
        <w:spacing w:after="0" w:line="240" w:lineRule="auto"/>
        <w:ind w:left="-851"/>
        <w:jc w:val="left"/>
        <w:rPr>
          <w:rFonts w:eastAsiaTheme="minorHAnsi"/>
          <w:b/>
          <w:bCs/>
          <w:color w:val="C00000"/>
          <w:lang w:eastAsia="en-US"/>
        </w:rPr>
      </w:pPr>
      <w:r>
        <w:rPr>
          <w:rFonts w:eastAsiaTheme="minorHAnsi"/>
          <w:b/>
          <w:bCs/>
          <w:color w:val="C00000"/>
          <w:lang w:eastAsia="en-US"/>
        </w:rPr>
        <w:t>1.2 Κόστος παραγωγής προϊόντος ή υπηρεσίας</w:t>
      </w:r>
    </w:p>
    <w:p w:rsidR="00E54474" w:rsidRDefault="00E54474" w:rsidP="00E54474">
      <w:pPr>
        <w:autoSpaceDE w:val="0"/>
        <w:autoSpaceDN w:val="0"/>
        <w:adjustRightInd w:val="0"/>
        <w:spacing w:after="0" w:line="240" w:lineRule="auto"/>
        <w:ind w:left="-851"/>
        <w:jc w:val="left"/>
        <w:rPr>
          <w:rFonts w:eastAsiaTheme="minorHAnsi"/>
          <w:color w:val="C00000"/>
          <w:lang w:eastAsia="en-US"/>
        </w:rPr>
      </w:pPr>
    </w:p>
    <w:p w:rsidR="00E54474" w:rsidRDefault="00E54474" w:rsidP="00E54474">
      <w:pPr>
        <w:autoSpaceDE w:val="0"/>
        <w:autoSpaceDN w:val="0"/>
        <w:adjustRightInd w:val="0"/>
        <w:spacing w:after="75" w:line="240" w:lineRule="auto"/>
        <w:ind w:left="-851"/>
        <w:jc w:val="left"/>
        <w:rPr>
          <w:rFonts w:eastAsiaTheme="minorHAnsi"/>
          <w:color w:val="000000"/>
          <w:lang w:eastAsia="en-US"/>
        </w:rPr>
      </w:pPr>
      <w:r>
        <w:rPr>
          <w:rFonts w:eastAsiaTheme="minorHAnsi"/>
          <w:color w:val="000000"/>
          <w:lang w:eastAsia="en-US"/>
        </w:rPr>
        <w:t xml:space="preserve">• </w:t>
      </w:r>
      <w:r>
        <w:rPr>
          <w:rFonts w:eastAsiaTheme="minorHAnsi"/>
          <w:b/>
          <w:bCs/>
          <w:color w:val="000000"/>
          <w:lang w:eastAsia="en-US"/>
        </w:rPr>
        <w:t xml:space="preserve">Προσδιορίζεται </w:t>
      </w:r>
      <w:r>
        <w:rPr>
          <w:rFonts w:eastAsiaTheme="minorHAnsi"/>
          <w:color w:val="000000"/>
          <w:lang w:eastAsia="en-US"/>
        </w:rPr>
        <w:t>με μία από τις γενικά αποδεκτές μεθόδους κοστολόγησης.</w:t>
      </w:r>
    </w:p>
    <w:p w:rsidR="00E54474" w:rsidRDefault="00E54474" w:rsidP="00E54474">
      <w:pPr>
        <w:autoSpaceDE w:val="0"/>
        <w:autoSpaceDN w:val="0"/>
        <w:adjustRightInd w:val="0"/>
        <w:spacing w:after="0" w:line="240" w:lineRule="auto"/>
        <w:ind w:left="-851"/>
        <w:jc w:val="left"/>
        <w:rPr>
          <w:rFonts w:eastAsiaTheme="minorHAnsi"/>
          <w:color w:val="000000"/>
          <w:lang w:eastAsia="en-US"/>
        </w:rPr>
      </w:pPr>
      <w:r>
        <w:rPr>
          <w:rFonts w:eastAsiaTheme="minorHAnsi"/>
          <w:color w:val="000000"/>
          <w:lang w:eastAsia="en-US"/>
        </w:rPr>
        <w:t>• Περιλαμβάνει:</w:t>
      </w:r>
    </w:p>
    <w:p w:rsidR="00E54474" w:rsidRDefault="00E54474" w:rsidP="00E54474">
      <w:pPr>
        <w:autoSpaceDE w:val="0"/>
        <w:autoSpaceDN w:val="0"/>
        <w:adjustRightInd w:val="0"/>
        <w:spacing w:after="0" w:line="240" w:lineRule="auto"/>
        <w:ind w:left="-851"/>
        <w:jc w:val="left"/>
        <w:rPr>
          <w:rFonts w:eastAsiaTheme="minorHAnsi"/>
          <w:color w:val="000000"/>
          <w:lang w:eastAsia="en-US"/>
        </w:rPr>
      </w:pPr>
      <w:r>
        <w:rPr>
          <w:rFonts w:eastAsiaTheme="minorHAnsi"/>
          <w:color w:val="000000"/>
          <w:lang w:eastAsia="en-US"/>
        </w:rPr>
        <w:t>- Το κόστος πρώτων υλών, αναλώσιμων υλικών, εργασίας και άλλο κόστος που σχετίζεται άμεσα,</w:t>
      </w:r>
    </w:p>
    <w:p w:rsidR="00E54474" w:rsidRDefault="00E54474" w:rsidP="00E54474">
      <w:pPr>
        <w:autoSpaceDE w:val="0"/>
        <w:autoSpaceDN w:val="0"/>
        <w:adjustRightInd w:val="0"/>
        <w:spacing w:after="0" w:line="240" w:lineRule="auto"/>
        <w:ind w:left="-851"/>
        <w:jc w:val="left"/>
        <w:rPr>
          <w:rFonts w:eastAsiaTheme="minorHAnsi"/>
          <w:color w:val="000000"/>
          <w:lang w:eastAsia="en-US"/>
        </w:rPr>
      </w:pPr>
      <w:r>
        <w:rPr>
          <w:rFonts w:eastAsiaTheme="minorHAnsi"/>
          <w:color w:val="000000"/>
          <w:lang w:eastAsia="en-US"/>
        </w:rPr>
        <w:t>- μία αναλογία σταθερών και μεταβλητών εξόδων που σχετίζονται έμμεσα (στο βαθμό που τα έξοδα αυτά αναφέρονται στην περίοδο παραγωγής),</w:t>
      </w:r>
    </w:p>
    <w:p w:rsidR="00E54474" w:rsidRDefault="00E54474" w:rsidP="00E54474">
      <w:pPr>
        <w:autoSpaceDE w:val="0"/>
        <w:autoSpaceDN w:val="0"/>
        <w:adjustRightInd w:val="0"/>
        <w:spacing w:after="0" w:line="240" w:lineRule="auto"/>
        <w:ind w:left="-851"/>
        <w:jc w:val="left"/>
        <w:rPr>
          <w:rFonts w:eastAsiaTheme="minorHAnsi"/>
          <w:color w:val="000000"/>
          <w:lang w:eastAsia="en-US"/>
        </w:rPr>
      </w:pPr>
      <w:r>
        <w:rPr>
          <w:rFonts w:eastAsiaTheme="minorHAnsi"/>
          <w:i/>
          <w:iCs/>
          <w:color w:val="000000"/>
          <w:lang w:eastAsia="en-US"/>
        </w:rPr>
        <w:t>-</w:t>
      </w:r>
      <w:r>
        <w:rPr>
          <w:rFonts w:eastAsiaTheme="minorHAnsi"/>
          <w:color w:val="000000"/>
          <w:lang w:eastAsia="en-US"/>
        </w:rPr>
        <w:t>τόκους εντόκων υποχρεώσεων περιόδου, όταν απαιτείται σημαντική περίοδος χρόνου για να καταστούν τα αποθέματα έτοιμα για την προοριζόμενη χρήση ή πώλησή τους.</w:t>
      </w:r>
    </w:p>
    <w:p w:rsidR="00E54474" w:rsidRDefault="00E54474" w:rsidP="00E54474">
      <w:pPr>
        <w:autoSpaceDE w:val="0"/>
        <w:autoSpaceDN w:val="0"/>
        <w:adjustRightInd w:val="0"/>
        <w:spacing w:after="0" w:line="240" w:lineRule="auto"/>
        <w:ind w:left="-851"/>
        <w:jc w:val="left"/>
        <w:rPr>
          <w:rFonts w:eastAsiaTheme="minorHAnsi"/>
          <w:b/>
          <w:bCs/>
          <w:color w:val="000000"/>
          <w:lang w:eastAsia="en-US"/>
        </w:rPr>
      </w:pPr>
      <w:r>
        <w:rPr>
          <w:rFonts w:eastAsiaTheme="minorHAnsi"/>
          <w:color w:val="000000"/>
          <w:lang w:eastAsia="en-US"/>
        </w:rPr>
        <w:t xml:space="preserve">• </w:t>
      </w:r>
      <w:r>
        <w:rPr>
          <w:rFonts w:eastAsiaTheme="minorHAnsi"/>
          <w:b/>
          <w:bCs/>
          <w:color w:val="000000"/>
          <w:lang w:eastAsia="en-US"/>
        </w:rPr>
        <w:t>Δεν περιλαμβάνει κόστη διανομής και διοίκησης.</w:t>
      </w:r>
    </w:p>
    <w:p w:rsidR="00E54474" w:rsidRDefault="00E54474" w:rsidP="00E54474">
      <w:pPr>
        <w:autoSpaceDE w:val="0"/>
        <w:autoSpaceDN w:val="0"/>
        <w:adjustRightInd w:val="0"/>
        <w:spacing w:after="0" w:line="240" w:lineRule="auto"/>
        <w:ind w:left="-851"/>
        <w:jc w:val="left"/>
        <w:rPr>
          <w:rFonts w:eastAsiaTheme="minorHAnsi"/>
          <w:b/>
          <w:bCs/>
          <w:color w:val="000000"/>
          <w:lang w:eastAsia="en-US"/>
        </w:rPr>
      </w:pPr>
    </w:p>
    <w:p w:rsidR="00E54474" w:rsidRDefault="00E54474" w:rsidP="00E54474">
      <w:pPr>
        <w:autoSpaceDE w:val="0"/>
        <w:autoSpaceDN w:val="0"/>
        <w:adjustRightInd w:val="0"/>
        <w:spacing w:after="0" w:line="240" w:lineRule="auto"/>
        <w:ind w:left="-851"/>
        <w:jc w:val="left"/>
        <w:rPr>
          <w:rFonts w:eastAsiaTheme="minorHAnsi"/>
          <w:b/>
          <w:bCs/>
          <w:color w:val="C00000"/>
          <w:lang w:eastAsia="en-US"/>
        </w:rPr>
      </w:pPr>
      <w:r>
        <w:rPr>
          <w:rFonts w:eastAsiaTheme="minorHAnsi"/>
          <w:b/>
          <w:bCs/>
          <w:color w:val="C00000"/>
          <w:lang w:eastAsia="en-US"/>
        </w:rPr>
        <w:t>1.3 Μεταγενέστερη επιμέτρηση</w:t>
      </w:r>
    </w:p>
    <w:p w:rsidR="00E54474" w:rsidRDefault="00E54474" w:rsidP="00E54474">
      <w:pPr>
        <w:autoSpaceDE w:val="0"/>
        <w:autoSpaceDN w:val="0"/>
        <w:adjustRightInd w:val="0"/>
        <w:spacing w:after="0" w:line="240" w:lineRule="auto"/>
        <w:ind w:left="-851"/>
        <w:jc w:val="left"/>
        <w:rPr>
          <w:rFonts w:eastAsiaTheme="minorHAnsi"/>
          <w:color w:val="C00000"/>
          <w:lang w:eastAsia="en-US"/>
        </w:rPr>
      </w:pPr>
    </w:p>
    <w:p w:rsidR="00E54474" w:rsidRDefault="00E54474" w:rsidP="00E54474">
      <w:pPr>
        <w:autoSpaceDE w:val="0"/>
        <w:autoSpaceDN w:val="0"/>
        <w:adjustRightInd w:val="0"/>
        <w:spacing w:after="58" w:line="240" w:lineRule="auto"/>
        <w:ind w:left="-851"/>
        <w:jc w:val="left"/>
        <w:rPr>
          <w:rFonts w:eastAsiaTheme="minorHAnsi"/>
          <w:color w:val="000000"/>
          <w:lang w:eastAsia="en-US"/>
        </w:rPr>
      </w:pPr>
      <w:r>
        <w:rPr>
          <w:rFonts w:eastAsiaTheme="minorHAnsi"/>
          <w:color w:val="000000"/>
          <w:lang w:eastAsia="en-US"/>
        </w:rPr>
        <w:t xml:space="preserve">• Μετά την αρχική αναγνώριση, τα αποθέματα επιμετρώνται </w:t>
      </w:r>
      <w:r>
        <w:rPr>
          <w:rFonts w:eastAsiaTheme="minorHAnsi"/>
          <w:b/>
          <w:bCs/>
          <w:color w:val="000000"/>
          <w:lang w:eastAsia="en-US"/>
        </w:rPr>
        <w:t>στην κατ’ είδος χαμηλότερη αξία μεταξύ κόστους κτήσης και καθαρής ρευστοποιήσιμης αξίας</w:t>
      </w:r>
      <w:r>
        <w:rPr>
          <w:rFonts w:eastAsiaTheme="minorHAnsi"/>
          <w:color w:val="000000"/>
          <w:lang w:eastAsia="en-US"/>
        </w:rPr>
        <w:t>.</w:t>
      </w:r>
    </w:p>
    <w:p w:rsidR="00E54474" w:rsidRDefault="00E54474" w:rsidP="00E54474">
      <w:pPr>
        <w:autoSpaceDE w:val="0"/>
        <w:autoSpaceDN w:val="0"/>
        <w:adjustRightInd w:val="0"/>
        <w:spacing w:after="0" w:line="240" w:lineRule="auto"/>
        <w:ind w:left="-851"/>
        <w:jc w:val="left"/>
        <w:rPr>
          <w:rFonts w:eastAsiaTheme="minorHAnsi"/>
          <w:color w:val="000000"/>
          <w:lang w:eastAsia="en-US"/>
        </w:rPr>
      </w:pPr>
      <w:r>
        <w:rPr>
          <w:rFonts w:eastAsiaTheme="minorHAnsi"/>
          <w:color w:val="000000"/>
          <w:lang w:eastAsia="en-US"/>
        </w:rPr>
        <w:t xml:space="preserve">- </w:t>
      </w:r>
      <w:r>
        <w:rPr>
          <w:rFonts w:eastAsiaTheme="minorHAnsi"/>
          <w:b/>
          <w:color w:val="000000"/>
          <w:lang w:eastAsia="en-US"/>
        </w:rPr>
        <w:t>Καθαρή ρευστοποιήσιμη αξία (</w:t>
      </w:r>
      <w:r>
        <w:rPr>
          <w:rFonts w:eastAsiaTheme="minorHAnsi"/>
          <w:b/>
          <w:color w:val="000000"/>
          <w:lang w:val="en-US" w:eastAsia="en-US"/>
        </w:rPr>
        <w:t>net</w:t>
      </w:r>
      <w:r w:rsidRPr="00E54474">
        <w:rPr>
          <w:rFonts w:eastAsiaTheme="minorHAnsi"/>
          <w:b/>
          <w:color w:val="000000"/>
          <w:lang w:eastAsia="en-US"/>
        </w:rPr>
        <w:t xml:space="preserve"> </w:t>
      </w:r>
      <w:r>
        <w:rPr>
          <w:rFonts w:eastAsiaTheme="minorHAnsi"/>
          <w:b/>
          <w:color w:val="000000"/>
          <w:lang w:val="en-US" w:eastAsia="en-US"/>
        </w:rPr>
        <w:t>realizable</w:t>
      </w:r>
      <w:r w:rsidRPr="00E54474">
        <w:rPr>
          <w:rFonts w:eastAsiaTheme="minorHAnsi"/>
          <w:b/>
          <w:color w:val="000000"/>
          <w:lang w:eastAsia="en-US"/>
        </w:rPr>
        <w:t xml:space="preserve"> </w:t>
      </w:r>
      <w:r>
        <w:rPr>
          <w:rFonts w:eastAsiaTheme="minorHAnsi"/>
          <w:b/>
          <w:color w:val="000000"/>
          <w:lang w:val="en-US" w:eastAsia="en-US"/>
        </w:rPr>
        <w:t>value</w:t>
      </w:r>
      <w:r>
        <w:rPr>
          <w:rFonts w:eastAsiaTheme="minorHAnsi"/>
          <w:b/>
          <w:color w:val="000000"/>
          <w:lang w:eastAsia="en-US"/>
        </w:rPr>
        <w:t>)</w:t>
      </w:r>
      <w:r>
        <w:rPr>
          <w:rFonts w:eastAsiaTheme="minorHAnsi"/>
          <w:color w:val="000000"/>
          <w:lang w:eastAsia="en-US"/>
        </w:rPr>
        <w:t xml:space="preserve"> είναι η τρέχουσα τιμή πώλησης ενός περιουσιακού στοιχείου μειωμένη κατά το τυχόν κόστος που απαιτείται για την ολοκλήρωσή του και για την πραγματοποίηση της πώλησης.</w:t>
      </w:r>
    </w:p>
    <w:p w:rsidR="00E54474" w:rsidRDefault="00E54474" w:rsidP="00E54474">
      <w:pPr>
        <w:autoSpaceDE w:val="0"/>
        <w:autoSpaceDN w:val="0"/>
        <w:adjustRightInd w:val="0"/>
        <w:spacing w:after="0" w:line="240" w:lineRule="auto"/>
        <w:ind w:left="-851"/>
        <w:jc w:val="left"/>
        <w:rPr>
          <w:rFonts w:eastAsiaTheme="minorHAnsi"/>
          <w:color w:val="000000"/>
          <w:lang w:eastAsia="en-US"/>
        </w:rPr>
      </w:pPr>
      <w:r>
        <w:rPr>
          <w:rFonts w:eastAsiaTheme="minorHAnsi"/>
          <w:color w:val="000000"/>
          <w:lang w:eastAsia="en-US"/>
        </w:rPr>
        <w:lastRenderedPageBreak/>
        <w:t xml:space="preserve">• </w:t>
      </w:r>
      <w:r>
        <w:rPr>
          <w:rFonts w:eastAsiaTheme="minorHAnsi"/>
          <w:b/>
          <w:bCs/>
          <w:color w:val="000000"/>
          <w:lang w:eastAsia="en-US"/>
        </w:rPr>
        <w:t xml:space="preserve">Εμπορεύματα των οποίων οι τιμές διαπραγματεύονται σε οργανωμένες αγορές </w:t>
      </w:r>
      <w:r>
        <w:rPr>
          <w:rFonts w:eastAsiaTheme="minorHAnsi"/>
          <w:color w:val="000000"/>
          <w:lang w:eastAsia="en-US"/>
        </w:rPr>
        <w:t xml:space="preserve">και τα οποία προορίζονται για πώληση στα πλαίσια κερδοσκοπικών συναλλαγών, </w:t>
      </w:r>
      <w:r>
        <w:rPr>
          <w:rFonts w:eastAsiaTheme="minorHAnsi"/>
          <w:b/>
          <w:bCs/>
          <w:color w:val="000000"/>
          <w:lang w:eastAsia="en-US"/>
        </w:rPr>
        <w:t xml:space="preserve">μπορούν </w:t>
      </w:r>
      <w:r>
        <w:rPr>
          <w:rFonts w:eastAsiaTheme="minorHAnsi"/>
          <w:color w:val="000000"/>
          <w:lang w:eastAsia="en-US"/>
        </w:rPr>
        <w:t xml:space="preserve">να </w:t>
      </w:r>
      <w:r>
        <w:rPr>
          <w:rFonts w:eastAsiaTheme="minorHAnsi"/>
          <w:b/>
          <w:bCs/>
          <w:color w:val="000000"/>
          <w:lang w:eastAsia="en-US"/>
        </w:rPr>
        <w:t>επιμετρώνται στην εύλογη αξία τους</w:t>
      </w:r>
      <w:r>
        <w:rPr>
          <w:rFonts w:eastAsiaTheme="minorHAnsi"/>
          <w:color w:val="000000"/>
          <w:lang w:eastAsia="en-US"/>
        </w:rPr>
        <w:t xml:space="preserve">, μείον το κόστος που απαιτείται για τη διάθεσή τους, με τις διαφορές αναγνωρίζονται ως κέρδη ή ζημίες στην περίοδο (άρθρο 24 παρ. 8).  </w:t>
      </w:r>
    </w:p>
    <w:p w:rsidR="00E54474" w:rsidRDefault="00E54474" w:rsidP="00E54474">
      <w:pPr>
        <w:autoSpaceDE w:val="0"/>
        <w:autoSpaceDN w:val="0"/>
        <w:adjustRightInd w:val="0"/>
        <w:spacing w:after="0" w:line="240" w:lineRule="auto"/>
        <w:ind w:left="-851"/>
        <w:jc w:val="left"/>
        <w:rPr>
          <w:rFonts w:eastAsiaTheme="minorHAnsi"/>
          <w:color w:val="000000"/>
          <w:lang w:eastAsia="en-US"/>
        </w:rPr>
      </w:pPr>
      <w:r>
        <w:rPr>
          <w:rFonts w:eastAsiaTheme="minorHAnsi"/>
          <w:b/>
          <w:bCs/>
          <w:color w:val="000000"/>
          <w:lang w:eastAsia="en-US"/>
        </w:rPr>
        <w:t xml:space="preserve"> </w:t>
      </w:r>
    </w:p>
    <w:p w:rsidR="00E54474" w:rsidRDefault="00E54474" w:rsidP="00E54474">
      <w:pPr>
        <w:autoSpaceDE w:val="0"/>
        <w:autoSpaceDN w:val="0"/>
        <w:adjustRightInd w:val="0"/>
        <w:spacing w:after="0" w:line="240" w:lineRule="auto"/>
        <w:ind w:left="-851"/>
        <w:jc w:val="left"/>
        <w:rPr>
          <w:rFonts w:eastAsiaTheme="minorHAnsi"/>
          <w:b/>
          <w:bCs/>
          <w:color w:val="C00000"/>
          <w:lang w:eastAsia="en-US"/>
        </w:rPr>
      </w:pPr>
      <w:r>
        <w:rPr>
          <w:rFonts w:eastAsiaTheme="minorHAnsi"/>
          <w:b/>
          <w:bCs/>
          <w:color w:val="C00000"/>
          <w:lang w:eastAsia="en-US"/>
        </w:rPr>
        <w:t>1.4 Προσδιορισμός κόστους κτήσης του τελικού αποθέματος</w:t>
      </w:r>
    </w:p>
    <w:p w:rsidR="00E54474" w:rsidRDefault="00E54474" w:rsidP="00E54474">
      <w:pPr>
        <w:autoSpaceDE w:val="0"/>
        <w:autoSpaceDN w:val="0"/>
        <w:adjustRightInd w:val="0"/>
        <w:spacing w:after="0" w:line="240" w:lineRule="auto"/>
        <w:ind w:left="-851"/>
        <w:jc w:val="left"/>
        <w:rPr>
          <w:rFonts w:eastAsiaTheme="minorHAnsi"/>
          <w:color w:val="000000"/>
          <w:lang w:eastAsia="en-US"/>
        </w:rPr>
      </w:pPr>
    </w:p>
    <w:p w:rsidR="00E54474" w:rsidRDefault="00E54474" w:rsidP="00E54474">
      <w:pPr>
        <w:autoSpaceDE w:val="0"/>
        <w:autoSpaceDN w:val="0"/>
        <w:adjustRightInd w:val="0"/>
        <w:spacing w:after="0" w:line="240" w:lineRule="auto"/>
        <w:ind w:left="-851"/>
        <w:jc w:val="left"/>
        <w:rPr>
          <w:rFonts w:eastAsiaTheme="minorHAnsi"/>
          <w:color w:val="000000"/>
          <w:lang w:eastAsia="en-US"/>
        </w:rPr>
      </w:pPr>
      <w:r>
        <w:rPr>
          <w:rFonts w:eastAsiaTheme="minorHAnsi"/>
          <w:color w:val="000000"/>
          <w:lang w:eastAsia="en-US"/>
        </w:rPr>
        <w:t xml:space="preserve">• Μέθοδος «Πρώτο Εισαχθέν-Πρώτο Εξαχθέν» </w:t>
      </w:r>
      <w:r>
        <w:rPr>
          <w:rFonts w:eastAsiaTheme="minorHAnsi"/>
          <w:b/>
          <w:color w:val="000000"/>
          <w:lang w:eastAsia="en-US"/>
        </w:rPr>
        <w:t>(FIFO).</w:t>
      </w:r>
    </w:p>
    <w:p w:rsidR="00E54474" w:rsidRDefault="00E54474" w:rsidP="00E54474">
      <w:pPr>
        <w:autoSpaceDE w:val="0"/>
        <w:autoSpaceDN w:val="0"/>
        <w:adjustRightInd w:val="0"/>
        <w:spacing w:after="0" w:line="240" w:lineRule="auto"/>
        <w:ind w:left="-851"/>
        <w:jc w:val="left"/>
        <w:rPr>
          <w:rFonts w:eastAsiaTheme="minorHAnsi"/>
          <w:color w:val="000000"/>
          <w:lang w:eastAsia="en-US"/>
        </w:rPr>
      </w:pPr>
      <w:r>
        <w:rPr>
          <w:rFonts w:eastAsiaTheme="minorHAnsi"/>
          <w:color w:val="000000"/>
          <w:lang w:eastAsia="en-US"/>
        </w:rPr>
        <w:t xml:space="preserve">• Μέθοδος του </w:t>
      </w:r>
      <w:r>
        <w:rPr>
          <w:rFonts w:eastAsiaTheme="minorHAnsi"/>
          <w:b/>
          <w:color w:val="000000"/>
          <w:lang w:eastAsia="en-US"/>
        </w:rPr>
        <w:t>μέσου σταθμικού όρου.</w:t>
      </w:r>
    </w:p>
    <w:p w:rsidR="00E54474" w:rsidRDefault="00E54474" w:rsidP="00E54474">
      <w:pPr>
        <w:autoSpaceDE w:val="0"/>
        <w:autoSpaceDN w:val="0"/>
        <w:adjustRightInd w:val="0"/>
        <w:spacing w:after="0" w:line="240" w:lineRule="auto"/>
        <w:ind w:left="-851"/>
        <w:jc w:val="left"/>
        <w:rPr>
          <w:rFonts w:eastAsiaTheme="minorHAnsi"/>
          <w:color w:val="000000"/>
          <w:lang w:eastAsia="en-US"/>
        </w:rPr>
      </w:pPr>
      <w:r>
        <w:rPr>
          <w:rFonts w:eastAsiaTheme="minorHAnsi"/>
          <w:color w:val="000000"/>
          <w:lang w:eastAsia="en-US"/>
        </w:rPr>
        <w:t xml:space="preserve">• Μέθοδο του </w:t>
      </w:r>
      <w:r>
        <w:rPr>
          <w:rFonts w:eastAsiaTheme="minorHAnsi"/>
          <w:b/>
          <w:color w:val="000000"/>
          <w:lang w:eastAsia="en-US"/>
        </w:rPr>
        <w:t>εξατομικευμένου κόστους.</w:t>
      </w:r>
    </w:p>
    <w:p w:rsidR="00E54474" w:rsidRDefault="00E54474" w:rsidP="00E54474">
      <w:pPr>
        <w:autoSpaceDE w:val="0"/>
        <w:autoSpaceDN w:val="0"/>
        <w:adjustRightInd w:val="0"/>
        <w:spacing w:after="0" w:line="240" w:lineRule="auto"/>
        <w:ind w:left="-851"/>
        <w:jc w:val="left"/>
        <w:rPr>
          <w:rFonts w:eastAsiaTheme="minorHAnsi"/>
          <w:color w:val="000000"/>
          <w:lang w:eastAsia="en-US"/>
        </w:rPr>
      </w:pPr>
      <w:r>
        <w:rPr>
          <w:rFonts w:eastAsiaTheme="minorHAnsi"/>
          <w:color w:val="000000"/>
          <w:lang w:eastAsia="en-US"/>
        </w:rPr>
        <w:t>• Άλλη τεκμηριωμένα γενικά αποδεκτή μέθοδο.</w:t>
      </w:r>
    </w:p>
    <w:p w:rsidR="00E54474" w:rsidRDefault="00E54474" w:rsidP="00E54474">
      <w:pPr>
        <w:autoSpaceDE w:val="0"/>
        <w:autoSpaceDN w:val="0"/>
        <w:adjustRightInd w:val="0"/>
        <w:spacing w:after="0" w:line="240" w:lineRule="auto"/>
        <w:ind w:left="-851"/>
        <w:jc w:val="left"/>
        <w:rPr>
          <w:rFonts w:eastAsiaTheme="minorHAnsi"/>
          <w:b/>
          <w:color w:val="000000"/>
          <w:lang w:eastAsia="en-US"/>
        </w:rPr>
      </w:pPr>
      <w:r>
        <w:rPr>
          <w:rFonts w:eastAsiaTheme="minorHAnsi"/>
          <w:color w:val="000000"/>
          <w:lang w:eastAsia="en-US"/>
        </w:rPr>
        <w:t xml:space="preserve">• Η μέθοδος «Τελευταίο Εισαχθέν-Πρώτο Εξαχθέν» </w:t>
      </w:r>
      <w:r>
        <w:rPr>
          <w:rFonts w:eastAsiaTheme="minorHAnsi"/>
          <w:b/>
          <w:color w:val="000000"/>
          <w:lang w:eastAsia="en-US"/>
        </w:rPr>
        <w:t>(LIFO) δεν επιτρέπεται.</w:t>
      </w:r>
    </w:p>
    <w:p w:rsidR="00E54474" w:rsidRDefault="00E54474" w:rsidP="00E54474">
      <w:pPr>
        <w:autoSpaceDE w:val="0"/>
        <w:autoSpaceDN w:val="0"/>
        <w:adjustRightInd w:val="0"/>
        <w:spacing w:after="0" w:line="240" w:lineRule="auto"/>
        <w:ind w:left="-851"/>
        <w:jc w:val="left"/>
        <w:rPr>
          <w:rFonts w:eastAsiaTheme="minorHAnsi"/>
          <w:color w:val="000000"/>
          <w:lang w:eastAsia="en-US"/>
        </w:rPr>
      </w:pPr>
      <w:r>
        <w:rPr>
          <w:rFonts w:eastAsiaTheme="minorHAnsi"/>
          <w:color w:val="000000"/>
          <w:lang w:eastAsia="en-US"/>
        </w:rPr>
        <w:t>• Για αποθέματα με διαφορετική φύση ή χρήση, διαφορετικές μέθοδοι μπορεί να δικαιολογούνται.</w:t>
      </w:r>
    </w:p>
    <w:p w:rsidR="00E54474" w:rsidRDefault="00E54474" w:rsidP="00E54474">
      <w:pPr>
        <w:autoSpaceDE w:val="0"/>
        <w:autoSpaceDN w:val="0"/>
        <w:adjustRightInd w:val="0"/>
        <w:spacing w:after="0" w:line="240" w:lineRule="auto"/>
        <w:ind w:left="-851"/>
        <w:jc w:val="left"/>
        <w:rPr>
          <w:rFonts w:eastAsiaTheme="minorHAnsi"/>
          <w:color w:val="000000"/>
          <w:lang w:eastAsia="en-US"/>
        </w:rPr>
      </w:pPr>
      <w:r>
        <w:rPr>
          <w:rFonts w:eastAsiaTheme="minorHAnsi"/>
          <w:color w:val="000000"/>
          <w:lang w:eastAsia="en-US"/>
        </w:rPr>
        <w:t xml:space="preserve">• Οι αγορές αναλώσιμων υλικών που δεν είναι σημαντικές μπορούν να καταχωριστούν στα έξοδα. </w:t>
      </w:r>
    </w:p>
    <w:p w:rsidR="00E54474" w:rsidRDefault="00E54474" w:rsidP="00E54474">
      <w:pPr>
        <w:autoSpaceDE w:val="0"/>
        <w:autoSpaceDN w:val="0"/>
        <w:adjustRightInd w:val="0"/>
        <w:spacing w:after="0" w:line="240" w:lineRule="auto"/>
        <w:ind w:left="-851"/>
        <w:jc w:val="left"/>
        <w:rPr>
          <w:rFonts w:eastAsiaTheme="minorHAnsi"/>
          <w:b/>
          <w:bCs/>
          <w:color w:val="C00000"/>
          <w:lang w:eastAsia="en-US"/>
        </w:rPr>
      </w:pPr>
    </w:p>
    <w:p w:rsidR="00E54474" w:rsidRDefault="00E54474" w:rsidP="00E54474">
      <w:pPr>
        <w:autoSpaceDE w:val="0"/>
        <w:autoSpaceDN w:val="0"/>
        <w:adjustRightInd w:val="0"/>
        <w:spacing w:after="0" w:line="240" w:lineRule="auto"/>
        <w:ind w:left="-851"/>
        <w:jc w:val="left"/>
        <w:rPr>
          <w:rFonts w:eastAsiaTheme="minorHAnsi"/>
          <w:color w:val="000000"/>
          <w:lang w:eastAsia="en-US"/>
        </w:rPr>
      </w:pPr>
      <w:r>
        <w:rPr>
          <w:rFonts w:eastAsiaTheme="minorHAnsi"/>
          <w:b/>
          <w:bCs/>
          <w:color w:val="C00000"/>
          <w:lang w:eastAsia="en-US"/>
        </w:rPr>
        <w:t>1.5 ΣΛΟΤ 667 ΕΞ 18.6.2015-Αγορά οικοπέδων </w:t>
      </w:r>
      <w:r>
        <w:rPr>
          <w:rFonts w:eastAsiaTheme="minorHAnsi"/>
          <w:b/>
          <w:bCs/>
          <w:color w:val="C00000"/>
          <w:lang w:eastAsia="en-US"/>
        </w:rPr>
        <w:br/>
      </w:r>
      <w:r>
        <w:rPr>
          <w:rFonts w:eastAsiaTheme="minorHAnsi"/>
          <w:color w:val="000000"/>
          <w:lang w:eastAsia="en-US"/>
        </w:rPr>
        <w:t>Σύμφωνα με την Γνωμ. ΣΛΟΤ 667/18/6.2015, τα ακίνητα που αποκτώνται με σκοπό την εμπορία ή την κατασκευή κτιρίων επί αυτών και στη συνέχεια εμπορία, θεωρούνται αποθέματα. Η σχετική Γνωμάτευση έχει ως εξής:</w:t>
      </w:r>
      <w:r>
        <w:rPr>
          <w:rFonts w:eastAsiaTheme="minorHAnsi"/>
          <w:color w:val="000000"/>
          <w:lang w:eastAsia="en-US"/>
        </w:rPr>
        <w:br/>
      </w:r>
      <w:r>
        <w:rPr>
          <w:rFonts w:eastAsiaTheme="minorHAnsi"/>
          <w:b/>
          <w:color w:val="000000"/>
          <w:lang w:eastAsia="en-US"/>
        </w:rPr>
        <w:t>Ερώτημα</w:t>
      </w:r>
      <w:r>
        <w:rPr>
          <w:rFonts w:eastAsiaTheme="minorHAnsi"/>
          <w:color w:val="000000"/>
          <w:lang w:eastAsia="en-US"/>
        </w:rPr>
        <w:br/>
        <w:t>ΕΠΕ με αντικείμενο εργασιών κατασκευή και πώληση οικοδομών, ερωτά: </w:t>
      </w:r>
      <w:r>
        <w:rPr>
          <w:rFonts w:eastAsiaTheme="minorHAnsi"/>
          <w:color w:val="000000"/>
          <w:lang w:eastAsia="en-US"/>
        </w:rPr>
        <w:br/>
        <w:t>α) τα αγροτεμάχια που αγόρασε αρχικά σε ποιό λογαριασμό θα μπουν στην απογραφή και πώς θα εμφανισθούν στον ισολογισμό και,</w:t>
      </w:r>
      <w:r>
        <w:rPr>
          <w:rFonts w:eastAsiaTheme="minorHAnsi"/>
          <w:color w:val="000000"/>
          <w:lang w:eastAsia="en-US"/>
        </w:rPr>
        <w:br/>
        <w:t>β) εάν ισχύει η γνωμοδότηση 1874/1993 που εξομοιώνονται με τις πρώτες ύλες των βιομηχανικών επιχειρήσεων (λογαριασμός 24 του Γεν. Λογ. Σχεδίου).</w:t>
      </w:r>
      <w:r>
        <w:rPr>
          <w:rFonts w:eastAsiaTheme="minorHAnsi"/>
          <w:color w:val="000000"/>
          <w:lang w:eastAsia="en-US"/>
        </w:rPr>
        <w:br/>
      </w:r>
      <w:r>
        <w:rPr>
          <w:rFonts w:eastAsiaTheme="minorHAnsi"/>
          <w:b/>
          <w:color w:val="000000"/>
          <w:lang w:eastAsia="en-US"/>
        </w:rPr>
        <w:t>Απάντηση</w:t>
      </w:r>
      <w:r>
        <w:rPr>
          <w:rFonts w:eastAsiaTheme="minorHAnsi"/>
          <w:color w:val="000000"/>
          <w:lang w:eastAsia="en-US"/>
        </w:rPr>
        <w:br/>
        <w:t>Με βάση το Ν. </w:t>
      </w:r>
      <w:hyperlink r:id="rId6" w:tgtFrame="_blank" w:history="1">
        <w:r>
          <w:rPr>
            <w:rStyle w:val="-"/>
            <w:rFonts w:eastAsiaTheme="minorHAnsi"/>
            <w:color w:val="000000"/>
            <w:lang w:eastAsia="en-US"/>
          </w:rPr>
          <w:t>4308/2014</w:t>
        </w:r>
      </w:hyperlink>
      <w:r>
        <w:rPr>
          <w:rFonts w:eastAsiaTheme="minorHAnsi"/>
          <w:color w:val="000000"/>
          <w:lang w:eastAsia="en-US"/>
        </w:rPr>
        <w:t> με ισχύ από 01.01.2015 τα ακίνητα που αποκτώνται με σκοπό την εμπορία ή την κατασκευή κτιρίων επί αυτών και στη συνέχεια εμπορία, θεωρούνται αποθέματα και συνεπώς αναγνωρίζονται κατά την απόκτηση και επιμετρώνται (αποτιμώνται) μεταγενέστερα, σύμφωνα με το άρθρο 20 του ιδίου νόμου».</w:t>
      </w:r>
    </w:p>
    <w:p w:rsidR="00E54474" w:rsidRDefault="00E54474" w:rsidP="00E54474">
      <w:pPr>
        <w:autoSpaceDE w:val="0"/>
        <w:autoSpaceDN w:val="0"/>
        <w:adjustRightInd w:val="0"/>
        <w:spacing w:after="0" w:line="240" w:lineRule="auto"/>
        <w:ind w:left="-851"/>
        <w:jc w:val="left"/>
        <w:rPr>
          <w:rFonts w:eastAsiaTheme="minorHAnsi"/>
          <w:color w:val="000000"/>
          <w:lang w:eastAsia="en-US"/>
        </w:rPr>
      </w:pPr>
    </w:p>
    <w:p w:rsidR="00E54474" w:rsidRDefault="00E54474" w:rsidP="00E54474">
      <w:pPr>
        <w:autoSpaceDE w:val="0"/>
        <w:autoSpaceDN w:val="0"/>
        <w:adjustRightInd w:val="0"/>
        <w:spacing w:after="0" w:line="240" w:lineRule="auto"/>
        <w:ind w:left="-851"/>
        <w:jc w:val="left"/>
        <w:rPr>
          <w:rFonts w:eastAsiaTheme="minorHAnsi"/>
          <w:color w:val="000000"/>
          <w:lang w:eastAsia="en-US"/>
        </w:rPr>
      </w:pPr>
      <w:r>
        <w:rPr>
          <w:rFonts w:eastAsiaTheme="minorHAnsi"/>
          <w:b/>
          <w:bCs/>
          <w:color w:val="C00000"/>
          <w:lang w:eastAsia="en-US"/>
        </w:rPr>
        <w:t>1.6 ΣΛΟΤ  2447 ΕΞ 7.12.2015-Χειρισμός ελαττωματικού αποθέματος </w:t>
      </w:r>
      <w:r>
        <w:rPr>
          <w:rFonts w:eastAsiaTheme="minorHAnsi"/>
          <w:b/>
          <w:bCs/>
          <w:color w:val="C00000"/>
          <w:lang w:eastAsia="en-US"/>
        </w:rPr>
        <w:br/>
      </w:r>
      <w:r>
        <w:rPr>
          <w:rFonts w:eastAsiaTheme="minorHAnsi"/>
          <w:color w:val="000000"/>
          <w:lang w:eastAsia="en-US"/>
        </w:rPr>
        <w:t>Σύμφωνα με την Γνωμ. ΣΛΟΤ 2447/7.12.2015, παρέχονται οδηγίες για την αποτίμηση των  ελαττωματικών αποθεμάτων η οποία έχει ως εξής:</w:t>
      </w:r>
    </w:p>
    <w:p w:rsidR="00E54474" w:rsidRDefault="00E54474" w:rsidP="00E54474">
      <w:pPr>
        <w:autoSpaceDE w:val="0"/>
        <w:autoSpaceDN w:val="0"/>
        <w:adjustRightInd w:val="0"/>
        <w:spacing w:after="0" w:line="240" w:lineRule="auto"/>
        <w:ind w:left="-851"/>
        <w:jc w:val="left"/>
        <w:rPr>
          <w:rFonts w:eastAsiaTheme="minorHAnsi"/>
          <w:b/>
          <w:color w:val="000000"/>
          <w:lang w:eastAsia="en-US"/>
        </w:rPr>
      </w:pPr>
      <w:r>
        <w:rPr>
          <w:rFonts w:eastAsiaTheme="minorHAnsi"/>
          <w:b/>
          <w:color w:val="000000"/>
          <w:lang w:eastAsia="en-US"/>
        </w:rPr>
        <w:t>Ερώτημα</w:t>
      </w:r>
    </w:p>
    <w:p w:rsidR="00E54474" w:rsidRDefault="00E54474" w:rsidP="00E54474">
      <w:pPr>
        <w:autoSpaceDE w:val="0"/>
        <w:autoSpaceDN w:val="0"/>
        <w:adjustRightInd w:val="0"/>
        <w:spacing w:after="0" w:line="240" w:lineRule="auto"/>
        <w:ind w:left="-851"/>
        <w:jc w:val="left"/>
        <w:rPr>
          <w:rFonts w:eastAsiaTheme="minorHAnsi"/>
          <w:color w:val="000000"/>
          <w:lang w:eastAsia="en-US"/>
        </w:rPr>
      </w:pPr>
      <w:r>
        <w:rPr>
          <w:rFonts w:eastAsiaTheme="minorHAnsi"/>
          <w:color w:val="000000"/>
          <w:lang w:eastAsia="en-US"/>
        </w:rPr>
        <w:t>Εταιρεία (μικρή οντότητα) που τηρεί διπλογραφικά βιβλία, έχει στην απογραφή τέλους χρήσης 2015 μεγάλο αριθμό εμπορευμάτων (9/10 αυτών) που είναι ελαττωματικά και δεν πρόκειται να πωληθούν ή θα πωληθούν σε τιμή πολύ κάτω του κόστους.</w:t>
      </w:r>
    </w:p>
    <w:p w:rsidR="00E54474" w:rsidRDefault="00E54474" w:rsidP="00E54474">
      <w:pPr>
        <w:autoSpaceDE w:val="0"/>
        <w:autoSpaceDN w:val="0"/>
        <w:adjustRightInd w:val="0"/>
        <w:spacing w:after="0" w:line="240" w:lineRule="auto"/>
        <w:ind w:left="-851"/>
        <w:jc w:val="left"/>
        <w:rPr>
          <w:rFonts w:eastAsiaTheme="minorHAnsi"/>
          <w:color w:val="000000"/>
          <w:lang w:eastAsia="en-US"/>
        </w:rPr>
      </w:pPr>
      <w:r>
        <w:rPr>
          <w:rFonts w:eastAsiaTheme="minorHAnsi"/>
          <w:color w:val="000000"/>
          <w:lang w:eastAsia="en-US"/>
        </w:rPr>
        <w:t>Θέλουμε η μειωμένη αξία της αποθήκης να αποτυπωθεί στις οικονομικές καταστάσεις της χρήσης 2015 και το ερώτημα είναι ποιος τρόπος είναι ο ενδεδειγμένος σύμφωνα και με τα Ε.Λ.Π. που ισχύουν από φέτος.</w:t>
      </w:r>
    </w:p>
    <w:p w:rsidR="00E54474" w:rsidRDefault="00E54474" w:rsidP="00E54474">
      <w:pPr>
        <w:autoSpaceDE w:val="0"/>
        <w:autoSpaceDN w:val="0"/>
        <w:adjustRightInd w:val="0"/>
        <w:spacing w:after="0" w:line="240" w:lineRule="auto"/>
        <w:ind w:left="-851"/>
        <w:jc w:val="left"/>
        <w:rPr>
          <w:rFonts w:eastAsiaTheme="minorHAnsi"/>
          <w:color w:val="000000"/>
          <w:lang w:eastAsia="en-US"/>
        </w:rPr>
      </w:pPr>
      <w:r>
        <w:rPr>
          <w:rFonts w:eastAsiaTheme="minorHAnsi"/>
          <w:color w:val="000000"/>
          <w:lang w:eastAsia="en-US"/>
        </w:rPr>
        <w:t>- Θα πρέπει η απομείωση να γίνει με μειωμένες τις αξίες των εμπορευμάτων στην Κατάσταση Απογραφής, συνεπώς τα Μικτά Αποτελέσματα του Ισολογισμού θα είναι αρνητικά;</w:t>
      </w:r>
    </w:p>
    <w:p w:rsidR="00E54474" w:rsidRDefault="00E54474" w:rsidP="00E54474">
      <w:pPr>
        <w:autoSpaceDE w:val="0"/>
        <w:autoSpaceDN w:val="0"/>
        <w:adjustRightInd w:val="0"/>
        <w:spacing w:after="0" w:line="240" w:lineRule="auto"/>
        <w:ind w:left="-851"/>
        <w:jc w:val="left"/>
        <w:rPr>
          <w:rFonts w:eastAsiaTheme="minorHAnsi"/>
          <w:color w:val="000000"/>
          <w:lang w:eastAsia="en-US"/>
        </w:rPr>
      </w:pPr>
      <w:r>
        <w:rPr>
          <w:rFonts w:eastAsiaTheme="minorHAnsi"/>
          <w:color w:val="000000"/>
          <w:lang w:eastAsia="en-US"/>
        </w:rPr>
        <w:t>ή</w:t>
      </w:r>
    </w:p>
    <w:p w:rsidR="00E54474" w:rsidRDefault="00E54474" w:rsidP="00E54474">
      <w:pPr>
        <w:autoSpaceDE w:val="0"/>
        <w:autoSpaceDN w:val="0"/>
        <w:adjustRightInd w:val="0"/>
        <w:spacing w:after="0" w:line="240" w:lineRule="auto"/>
        <w:ind w:left="-851"/>
        <w:jc w:val="left"/>
        <w:rPr>
          <w:rFonts w:eastAsiaTheme="minorHAnsi"/>
          <w:color w:val="000000"/>
          <w:lang w:eastAsia="en-US"/>
        </w:rPr>
      </w:pPr>
      <w:r>
        <w:rPr>
          <w:rFonts w:eastAsiaTheme="minorHAnsi"/>
          <w:color w:val="000000"/>
          <w:lang w:eastAsia="en-US"/>
        </w:rPr>
        <w:t>- Θα γίνει με Λογιστικές Εγγραφές Ισολογισμού (Χρέωση λογ.81.02 Έκτακτες Ζημιές και Πίστωση λογ. 20.00 ή κάποιου άλλου), ώστε να αποτυπωθεί η ζημιά στα έκτακτα και ανόργανα έξοδα του Ισολογισμού;</w:t>
      </w:r>
    </w:p>
    <w:p w:rsidR="00E54474" w:rsidRDefault="00E54474" w:rsidP="00E54474">
      <w:pPr>
        <w:autoSpaceDE w:val="0"/>
        <w:autoSpaceDN w:val="0"/>
        <w:adjustRightInd w:val="0"/>
        <w:spacing w:after="0" w:line="240" w:lineRule="auto"/>
        <w:ind w:left="-851"/>
        <w:jc w:val="left"/>
        <w:rPr>
          <w:rFonts w:eastAsiaTheme="minorHAnsi"/>
          <w:color w:val="000000"/>
          <w:lang w:eastAsia="en-US"/>
        </w:rPr>
      </w:pPr>
      <w:r>
        <w:rPr>
          <w:rFonts w:eastAsiaTheme="minorHAnsi"/>
          <w:color w:val="000000"/>
          <w:lang w:eastAsia="en-US"/>
        </w:rPr>
        <w:t>- Θα πρέπει να γίνει κάποια ειδική αναφορά στο Προσάρτημα του Ισολογισμού;</w:t>
      </w:r>
    </w:p>
    <w:p w:rsidR="00E54474" w:rsidRDefault="00E54474" w:rsidP="00E54474">
      <w:pPr>
        <w:autoSpaceDE w:val="0"/>
        <w:autoSpaceDN w:val="0"/>
        <w:adjustRightInd w:val="0"/>
        <w:spacing w:after="0" w:line="240" w:lineRule="auto"/>
        <w:ind w:left="-851"/>
        <w:jc w:val="left"/>
        <w:rPr>
          <w:rFonts w:eastAsiaTheme="minorHAnsi"/>
          <w:b/>
          <w:color w:val="000000"/>
          <w:lang w:eastAsia="en-US"/>
        </w:rPr>
      </w:pPr>
      <w:r>
        <w:rPr>
          <w:rFonts w:eastAsiaTheme="minorHAnsi"/>
          <w:b/>
          <w:color w:val="000000"/>
          <w:lang w:eastAsia="en-US"/>
        </w:rPr>
        <w:t>Απάντηση</w:t>
      </w:r>
    </w:p>
    <w:p w:rsidR="00E54474" w:rsidRDefault="00E54474" w:rsidP="00E54474">
      <w:pPr>
        <w:autoSpaceDE w:val="0"/>
        <w:autoSpaceDN w:val="0"/>
        <w:adjustRightInd w:val="0"/>
        <w:spacing w:after="0" w:line="240" w:lineRule="auto"/>
        <w:ind w:left="-851"/>
        <w:jc w:val="left"/>
        <w:rPr>
          <w:rFonts w:eastAsiaTheme="minorHAnsi"/>
          <w:color w:val="000000"/>
          <w:lang w:eastAsia="en-US"/>
        </w:rPr>
      </w:pPr>
      <w:r>
        <w:rPr>
          <w:rFonts w:eastAsiaTheme="minorHAnsi"/>
          <w:color w:val="000000"/>
          <w:lang w:eastAsia="en-US"/>
        </w:rPr>
        <w:t>Οι απαντήσεις του ερωτήματος ρυθμίζονται αναλυτικά και πλήρως από:</w:t>
      </w:r>
    </w:p>
    <w:p w:rsidR="00E54474" w:rsidRDefault="00E54474" w:rsidP="00E54474">
      <w:pPr>
        <w:autoSpaceDE w:val="0"/>
        <w:autoSpaceDN w:val="0"/>
        <w:adjustRightInd w:val="0"/>
        <w:spacing w:after="0" w:line="240" w:lineRule="auto"/>
        <w:ind w:left="-851"/>
        <w:jc w:val="left"/>
        <w:rPr>
          <w:rFonts w:eastAsiaTheme="minorHAnsi"/>
          <w:color w:val="000000"/>
          <w:lang w:eastAsia="en-US"/>
        </w:rPr>
      </w:pPr>
      <w:r>
        <w:rPr>
          <w:rFonts w:eastAsiaTheme="minorHAnsi"/>
          <w:color w:val="000000"/>
          <w:lang w:eastAsia="en-US"/>
        </w:rPr>
        <w:t>(α) το </w:t>
      </w:r>
      <w:hyperlink r:id="rId7" w:history="1">
        <w:r>
          <w:rPr>
            <w:rStyle w:val="-"/>
            <w:rFonts w:eastAsiaTheme="minorHAnsi"/>
            <w:color w:val="000000"/>
            <w:lang w:eastAsia="en-US"/>
          </w:rPr>
          <w:t>άρθρο 20 παράγραφος 6</w:t>
        </w:r>
      </w:hyperlink>
      <w:r>
        <w:rPr>
          <w:rFonts w:eastAsiaTheme="minorHAnsi"/>
          <w:color w:val="000000"/>
          <w:lang w:eastAsia="en-US"/>
        </w:rPr>
        <w:t> του νόμου </w:t>
      </w:r>
      <w:hyperlink r:id="rId8" w:tgtFrame="_blank" w:history="1">
        <w:r>
          <w:rPr>
            <w:rStyle w:val="-"/>
            <w:rFonts w:eastAsiaTheme="minorHAnsi"/>
            <w:color w:val="000000"/>
            <w:lang w:eastAsia="en-US"/>
          </w:rPr>
          <w:t>4308/2014</w:t>
        </w:r>
      </w:hyperlink>
      <w:r>
        <w:rPr>
          <w:rFonts w:eastAsiaTheme="minorHAnsi"/>
          <w:color w:val="000000"/>
          <w:lang w:eastAsia="en-US"/>
        </w:rPr>
        <w:t>,</w:t>
      </w:r>
    </w:p>
    <w:p w:rsidR="00E54474" w:rsidRDefault="00E54474" w:rsidP="00E54474">
      <w:pPr>
        <w:autoSpaceDE w:val="0"/>
        <w:autoSpaceDN w:val="0"/>
        <w:adjustRightInd w:val="0"/>
        <w:spacing w:after="0" w:line="240" w:lineRule="auto"/>
        <w:ind w:left="-851"/>
        <w:jc w:val="left"/>
        <w:rPr>
          <w:rFonts w:eastAsiaTheme="minorHAnsi"/>
          <w:color w:val="000000"/>
          <w:lang w:eastAsia="en-US"/>
        </w:rPr>
      </w:pPr>
      <w:r>
        <w:rPr>
          <w:rFonts w:eastAsiaTheme="minorHAnsi"/>
          <w:color w:val="000000"/>
          <w:lang w:eastAsia="en-US"/>
        </w:rPr>
        <w:t>(β) τις παραγράφους 20.6.2 έως 20.6.5 της </w:t>
      </w:r>
      <w:hyperlink r:id="rId9" w:history="1">
        <w:r>
          <w:rPr>
            <w:rStyle w:val="-"/>
            <w:rFonts w:eastAsiaTheme="minorHAnsi"/>
            <w:color w:val="000000"/>
            <w:lang w:eastAsia="en-US"/>
          </w:rPr>
          <w:t>λογιστικής οδηγίας</w:t>
        </w:r>
      </w:hyperlink>
      <w:r>
        <w:rPr>
          <w:rFonts w:eastAsiaTheme="minorHAnsi"/>
          <w:color w:val="000000"/>
          <w:lang w:eastAsia="en-US"/>
        </w:rPr>
        <w:t> εφαρμογής του Ν. </w:t>
      </w:r>
      <w:hyperlink r:id="rId10" w:tgtFrame="_blank" w:history="1">
        <w:r>
          <w:rPr>
            <w:rStyle w:val="-"/>
            <w:rFonts w:eastAsiaTheme="minorHAnsi"/>
            <w:color w:val="000000"/>
            <w:lang w:eastAsia="en-US"/>
          </w:rPr>
          <w:t>4308/2014</w:t>
        </w:r>
      </w:hyperlink>
      <w:r>
        <w:rPr>
          <w:rFonts w:eastAsiaTheme="minorHAnsi"/>
          <w:color w:val="000000"/>
          <w:lang w:eastAsia="en-US"/>
        </w:rPr>
        <w:t xml:space="preserve"> και,</w:t>
      </w:r>
    </w:p>
    <w:p w:rsidR="00E54474" w:rsidRDefault="00E54474" w:rsidP="00E54474">
      <w:pPr>
        <w:autoSpaceDE w:val="0"/>
        <w:autoSpaceDN w:val="0"/>
        <w:adjustRightInd w:val="0"/>
        <w:spacing w:after="0" w:line="240" w:lineRule="auto"/>
        <w:ind w:left="-851"/>
        <w:jc w:val="left"/>
        <w:rPr>
          <w:rFonts w:eastAsiaTheme="minorHAnsi"/>
          <w:color w:val="000000"/>
          <w:lang w:eastAsia="en-US"/>
        </w:rPr>
      </w:pPr>
      <w:r>
        <w:rPr>
          <w:rFonts w:eastAsiaTheme="minorHAnsi"/>
          <w:color w:val="000000"/>
          <w:lang w:eastAsia="en-US"/>
        </w:rPr>
        <w:t>(γ) το </w:t>
      </w:r>
      <w:hyperlink r:id="rId11" w:history="1">
        <w:r>
          <w:rPr>
            <w:rStyle w:val="-"/>
            <w:rFonts w:eastAsiaTheme="minorHAnsi"/>
            <w:color w:val="000000"/>
            <w:lang w:eastAsia="en-US"/>
          </w:rPr>
          <w:t>άρθρο 29</w:t>
        </w:r>
      </w:hyperlink>
      <w:r>
        <w:rPr>
          <w:rFonts w:eastAsiaTheme="minorHAnsi"/>
          <w:color w:val="000000"/>
          <w:lang w:eastAsia="en-US"/>
        </w:rPr>
        <w:t> του Ν. </w:t>
      </w:r>
      <w:hyperlink r:id="rId12" w:tgtFrame="_blank" w:history="1">
        <w:r>
          <w:rPr>
            <w:rStyle w:val="-"/>
            <w:rFonts w:eastAsiaTheme="minorHAnsi"/>
            <w:color w:val="000000"/>
            <w:lang w:eastAsia="en-US"/>
          </w:rPr>
          <w:t>4308/2014</w:t>
        </w:r>
      </w:hyperlink>
      <w:r>
        <w:rPr>
          <w:rFonts w:eastAsiaTheme="minorHAnsi"/>
          <w:color w:val="000000"/>
          <w:lang w:eastAsia="en-US"/>
        </w:rPr>
        <w:t>, που καθορίζει τις παρεχόμενες στο προσάρτημα πληροφορίες.</w:t>
      </w:r>
    </w:p>
    <w:p w:rsidR="00E54474" w:rsidRDefault="00E54474" w:rsidP="00E54474">
      <w:pPr>
        <w:autoSpaceDE w:val="0"/>
        <w:autoSpaceDN w:val="0"/>
        <w:adjustRightInd w:val="0"/>
        <w:spacing w:after="0" w:line="240" w:lineRule="auto"/>
        <w:ind w:left="-851"/>
        <w:jc w:val="left"/>
        <w:rPr>
          <w:rFonts w:eastAsiaTheme="minorHAnsi"/>
          <w:color w:val="000000"/>
          <w:lang w:eastAsia="en-US"/>
        </w:rPr>
      </w:pPr>
    </w:p>
    <w:p w:rsidR="00E54474" w:rsidRDefault="00E54474" w:rsidP="00E54474">
      <w:pPr>
        <w:autoSpaceDE w:val="0"/>
        <w:autoSpaceDN w:val="0"/>
        <w:adjustRightInd w:val="0"/>
        <w:spacing w:after="0" w:line="240" w:lineRule="auto"/>
        <w:ind w:left="-851"/>
        <w:jc w:val="left"/>
        <w:rPr>
          <w:b/>
        </w:rPr>
      </w:pPr>
      <w:r>
        <w:rPr>
          <w:b/>
          <w:bCs/>
          <w:color w:val="C00000"/>
        </w:rPr>
        <w:t>1.7 Σ.ΛΟ.Τ. 2712 ΕΞ 18.2.2016. Λογιστικός χειρισμός καταστροφής αποθεμάτων με τα Ε.Λ.Π.</w:t>
      </w:r>
      <w:r>
        <w:rPr>
          <w:color w:val="C00000"/>
        </w:rPr>
        <w:t> </w:t>
      </w:r>
      <w:r>
        <w:rPr>
          <w:color w:val="C00000"/>
        </w:rPr>
        <w:br/>
      </w:r>
      <w:r>
        <w:rPr>
          <w:b/>
          <w:color w:val="000000"/>
        </w:rPr>
        <w:t>Ερώτημα</w:t>
      </w:r>
      <w:r>
        <w:rPr>
          <w:b/>
          <w:color w:val="000000"/>
        </w:rPr>
        <w:br/>
      </w:r>
      <w:r>
        <w:rPr>
          <w:color w:val="000000"/>
        </w:rPr>
        <w:t>Η εταιρεία προχώρησε σε καταστροφή ακαταλλήλων αποθεμάτων και εξέδωσε πρωτόκολλο καταστροφής.</w:t>
      </w:r>
      <w:r>
        <w:rPr>
          <w:color w:val="000000"/>
        </w:rPr>
        <w:br/>
        <w:t>Σύμφωνα με το Ε.Γ.Λ.Σ. μέχρι 31.12.2014 πιστώναμε το λογαριασμό 78.11 «Αξία καταστραφέντων ακαταλλήλων αποθεμάτων» σε χρέωση του λογαριασμού 81.02.10 «Ζημιές από καταστροφή ακαταλλήλων αποθεμάτων».</w:t>
      </w:r>
      <w:r>
        <w:rPr>
          <w:color w:val="000000"/>
        </w:rPr>
        <w:br/>
        <w:t>Ποίος είναι ο λογιστικός χειρισμός σύμφωνα με τα Ε.Λ.Π.;</w:t>
      </w:r>
      <w:r>
        <w:rPr>
          <w:color w:val="000000"/>
        </w:rPr>
        <w:br/>
      </w:r>
      <w:r>
        <w:rPr>
          <w:b/>
          <w:color w:val="000000"/>
        </w:rPr>
        <w:t>Απάντηση</w:t>
      </w:r>
      <w:r>
        <w:rPr>
          <w:b/>
          <w:color w:val="000000"/>
        </w:rPr>
        <w:br/>
        <w:t>1.</w:t>
      </w:r>
      <w:r>
        <w:rPr>
          <w:color w:val="000000"/>
        </w:rPr>
        <w:t xml:space="preserve"> Σύμφωνα με τα ΕΛΠ, το κόστος ακατάλληλων αποθεμάτων που καταστρέφονται, εφόσον η αξία των καταστρεφόμενων αγαθών κυμαίνεται στα συνήθη επίπεδα, καταχωρείται σε αύξηση του κόστους πωληθέντων στην κατάσταση αποτελεσμάτων. Όταν όμως το κόστος αυτό είναι ιδιαίτερα σημαντικό και παρεκκλίνει από τα συνήθη επίπεδα, το σχετικό ποσό μπορεί να εμφανίζεται ως ζημία απομείωσης στην κατάσταση αποτελεσμάτων, ώστε να μη στρεβλώνεται το κόστος πωληθέντων και το μικτό κέρδος.</w:t>
      </w:r>
      <w:r>
        <w:rPr>
          <w:color w:val="000000"/>
        </w:rPr>
        <w:br/>
      </w:r>
      <w:r>
        <w:rPr>
          <w:b/>
          <w:color w:val="000000"/>
        </w:rPr>
        <w:t>2.</w:t>
      </w:r>
      <w:r>
        <w:rPr>
          <w:color w:val="000000"/>
        </w:rPr>
        <w:t xml:space="preserve"> Στα πλαίσια των ΕΛΠ, η οντότητα δύναται να καταχωρεί την καταστροφή των αποθεμάτων σε λογαριασμό ζημίας με πίστωση των αποθεμάτων. Στη συνέχεια, ανάλογα με το ύψος της ζημίας, ακολουθείται ο ενδεδειγμένος υπό (1) χειρισμός.</w:t>
      </w:r>
      <w:r>
        <w:rPr>
          <w:color w:val="000000"/>
        </w:rPr>
        <w:br/>
      </w:r>
      <w:r>
        <w:rPr>
          <w:b/>
          <w:color w:val="000000"/>
        </w:rPr>
        <w:t>3.</w:t>
      </w:r>
      <w:r>
        <w:rPr>
          <w:color w:val="000000"/>
        </w:rPr>
        <w:t xml:space="preserve"> Σε ότι αφορά την καταχώρηση σε λογαριασμούς, σημειώνεται ότι στα πλαίσια των ΕΛΠ η χρήση κωδικών επαφίεται στην κρίση της οντότητας. Εάν η επιχείρηση συνεχίζει να τηρεί το σχέδιο λογαριασμών του Ε.Γ.Λ.Σ., δύναται να συνεχίσει να διενεργεί τις εγγραφές που διενεργούσε, διασφαλίζονται ωστόσο σε κάθε περίπτωση την ορθή εμφάνιση των επιπτώσεων του γεγονότος στις χρηματοοικονομικές καταστάσεις σύμφωνα με τον υπό (1) χειρισμό που έχει επιλεγεί.</w:t>
      </w:r>
      <w:r>
        <w:rPr>
          <w:color w:val="000000"/>
          <w:sz w:val="27"/>
          <w:szCs w:val="27"/>
        </w:rPr>
        <w:br/>
      </w:r>
      <w:r>
        <w:rPr>
          <w:color w:val="000000"/>
          <w:sz w:val="27"/>
          <w:szCs w:val="27"/>
        </w:rPr>
        <w:br/>
      </w:r>
      <w:r>
        <w:rPr>
          <w:rFonts w:eastAsiaTheme="minorHAnsi"/>
          <w:b/>
          <w:color w:val="000000"/>
          <w:lang w:eastAsia="en-US"/>
        </w:rPr>
        <w:t xml:space="preserve">2. </w:t>
      </w:r>
      <w:r>
        <w:rPr>
          <w:b/>
        </w:rPr>
        <w:t>Ερμηνευτικό και  επεξηγηματικό κείμενο κατά παράγραφο του  άρθρου 20, για την ορθή και ασφαλή εφαρμογή του νόμου, όπως δόθηκε από τη Λογιστική οδηγία που εξέδωσε την 16.10.2015 η ΕΛΤΕ και ανάπτυξη πρακτικών εφαρμογών κατά θεματική ενότητα</w:t>
      </w:r>
    </w:p>
    <w:p w:rsidR="00E54474" w:rsidRDefault="00E54474" w:rsidP="00E54474">
      <w:pPr>
        <w:autoSpaceDE w:val="0"/>
        <w:autoSpaceDN w:val="0"/>
        <w:adjustRightInd w:val="0"/>
        <w:spacing w:after="0" w:line="240" w:lineRule="auto"/>
        <w:ind w:left="-851"/>
        <w:jc w:val="left"/>
        <w:rPr>
          <w:b/>
          <w:color w:val="C00000"/>
        </w:rPr>
      </w:pPr>
    </w:p>
    <w:p w:rsidR="00E54474" w:rsidRDefault="00E54474" w:rsidP="00E54474">
      <w:pPr>
        <w:ind w:left="-851"/>
        <w:rPr>
          <w:b/>
        </w:rPr>
      </w:pPr>
      <w:r>
        <w:rPr>
          <w:b/>
          <w:color w:val="C00000"/>
        </w:rPr>
        <w:t>2.1 Ερμηνεία κατά παράγραφο του άρθρου 20</w:t>
      </w:r>
    </w:p>
    <w:p w:rsidR="00E54474" w:rsidRDefault="00E54474" w:rsidP="00E54474">
      <w:pPr>
        <w:ind w:left="-851"/>
        <w:rPr>
          <w:b/>
        </w:rPr>
      </w:pPr>
      <w:r>
        <w:rPr>
          <w:b/>
        </w:rPr>
        <w:t xml:space="preserve">Παρ. 20.1.1 </w:t>
      </w:r>
    </w:p>
    <w:p w:rsidR="00E54474" w:rsidRDefault="00E54474" w:rsidP="00E54474">
      <w:pPr>
        <w:ind w:left="-851"/>
        <w:rPr>
          <w:sz w:val="21"/>
          <w:szCs w:val="21"/>
        </w:rPr>
      </w:pPr>
      <w:r>
        <w:rPr>
          <w:bCs/>
        </w:rPr>
        <w:t xml:space="preserve">    </w:t>
      </w:r>
      <w:r>
        <w:rPr>
          <w:sz w:val="21"/>
          <w:szCs w:val="21"/>
        </w:rPr>
        <w:t>Τα αποθέματα περιλαμβάνουν τα περιουσιακά στοιχεία που κατέχονται για πώληση στη συνήθη εμπορική δραστηριότητα της οντότητας (εμπορεύματα ή προϊόντα) ή βρίσκονται υπό επεξεργασία για τη μετατροπή τους σε προϊόντα. Περιλαμβάνουν επίσης τα πάσης φύσεως υλικά που προορίζονται να αναλωθούν στην παραγωγική διαδικασία, για την παραγωγή προϊόντων ή την παροχή υπηρεσιών.</w:t>
      </w:r>
    </w:p>
    <w:p w:rsidR="00E54474" w:rsidRDefault="00E54474" w:rsidP="00E54474">
      <w:pPr>
        <w:ind w:left="-851"/>
        <w:rPr>
          <w:b/>
        </w:rPr>
      </w:pPr>
      <w:r>
        <w:rPr>
          <w:b/>
        </w:rPr>
        <w:t xml:space="preserve">Παρ. 20.1.2 </w:t>
      </w:r>
    </w:p>
    <w:p w:rsidR="00E54474" w:rsidRDefault="00E54474" w:rsidP="00E54474">
      <w:pPr>
        <w:ind w:left="-851"/>
        <w:rPr>
          <w:sz w:val="21"/>
          <w:szCs w:val="21"/>
        </w:rPr>
      </w:pPr>
      <w:r>
        <w:rPr>
          <w:bCs/>
          <w:sz w:val="21"/>
          <w:szCs w:val="21"/>
        </w:rPr>
        <w:t xml:space="preserve">    </w:t>
      </w:r>
      <w:r>
        <w:rPr>
          <w:sz w:val="21"/>
          <w:szCs w:val="21"/>
        </w:rPr>
        <w:t>Συνήθεις τύποι αποθεμάτων είναι τα εμπορεύματα, τα υλικά παραγωγής, οι πρώτες ύλες, η παραγωγή σε εξέλιξη και τα έτοιμα προϊόντα.</w:t>
      </w:r>
    </w:p>
    <w:p w:rsidR="00E54474" w:rsidRDefault="00E54474" w:rsidP="00E54474">
      <w:pPr>
        <w:ind w:left="-851"/>
        <w:rPr>
          <w:b/>
        </w:rPr>
      </w:pPr>
      <w:r>
        <w:rPr>
          <w:b/>
        </w:rPr>
        <w:t xml:space="preserve">Παρ. 20.2.1 </w:t>
      </w:r>
    </w:p>
    <w:p w:rsidR="00E54474" w:rsidRDefault="00E54474" w:rsidP="00E54474">
      <w:pPr>
        <w:ind w:left="-851"/>
        <w:rPr>
          <w:bCs/>
          <w:sz w:val="21"/>
          <w:szCs w:val="21"/>
        </w:rPr>
      </w:pPr>
      <w:bookmarkStart w:id="1" w:name="_Toc396290588"/>
      <w:bookmarkStart w:id="2" w:name="_Toc386708190"/>
      <w:bookmarkStart w:id="3" w:name="_Toc386707696"/>
      <w:bookmarkStart w:id="4" w:name="_Toc372186435"/>
      <w:bookmarkStart w:id="5" w:name="_Toc372185856"/>
      <w:bookmarkStart w:id="6" w:name="_Toc368315131"/>
      <w:r>
        <w:rPr>
          <w:bCs/>
          <w:sz w:val="21"/>
          <w:szCs w:val="21"/>
        </w:rPr>
        <w:t xml:space="preserve">    </w:t>
      </w:r>
      <w:r>
        <w:rPr>
          <w:sz w:val="21"/>
          <w:szCs w:val="21"/>
        </w:rPr>
        <w:t>Το κόστος κτήσης των αποθεμάτων περιλαμβάνει το σύνολο των δαπανών που απαιτούνται για να φθάσουν αυτά στην παρούσα θέση και κατάστασή τους.</w:t>
      </w:r>
      <w:bookmarkEnd w:id="1"/>
      <w:bookmarkEnd w:id="2"/>
      <w:bookmarkEnd w:id="3"/>
      <w:bookmarkEnd w:id="4"/>
      <w:bookmarkEnd w:id="5"/>
      <w:bookmarkEnd w:id="6"/>
      <w:r>
        <w:rPr>
          <w:sz w:val="21"/>
          <w:szCs w:val="21"/>
        </w:rPr>
        <w:t xml:space="preserve"> </w:t>
      </w:r>
      <w:r>
        <w:rPr>
          <w:bCs/>
          <w:sz w:val="21"/>
          <w:szCs w:val="21"/>
        </w:rPr>
        <w:t>Ο όρος «παρούσα θέση» αναφέρεται στη γεωγραφική θέση στην οποία βρίσκονται (π.χ. σε αποθήκη στην Αθήνα ή στη Θεσσαλονίκη). Ο όρος «κατάσταση» αναφέρεται στο στάδιο επεξεργασίας για παραγόμενα προϊόντα.</w:t>
      </w:r>
    </w:p>
    <w:p w:rsidR="00E54474" w:rsidRDefault="00E54474" w:rsidP="00E54474">
      <w:pPr>
        <w:ind w:left="-851"/>
        <w:rPr>
          <w:b/>
        </w:rPr>
      </w:pPr>
      <w:r>
        <w:rPr>
          <w:b/>
        </w:rPr>
        <w:t xml:space="preserve">Παρ. 20.2.2 </w:t>
      </w:r>
    </w:p>
    <w:p w:rsidR="00E54474" w:rsidRDefault="00E54474" w:rsidP="00E54474">
      <w:pPr>
        <w:ind w:left="-851"/>
        <w:rPr>
          <w:sz w:val="21"/>
          <w:szCs w:val="21"/>
        </w:rPr>
      </w:pPr>
      <w:r>
        <w:rPr>
          <w:bCs/>
          <w:sz w:val="21"/>
          <w:szCs w:val="21"/>
        </w:rPr>
        <w:t xml:space="preserve">    Το κόστος αγοράς για </w:t>
      </w:r>
      <w:r>
        <w:rPr>
          <w:sz w:val="21"/>
          <w:szCs w:val="21"/>
        </w:rPr>
        <w:t xml:space="preserve">εμπορεύματα και υλικά περιλαμβάνει την τιμή αγοράς, τους εισαγωγικούς δασμούς και άλλους φόρους (εκτός εκείνων που η οντότητα μπορεί στη συνέχεια να ανακτήσει από την φορολογική αρχή, όπως ο ΦΠΑ), μεταφορικά, κόστη παράδοσης και άλλα κόστη άμεσα επιρριπτέα στην απόκτηση των ετοίμων αγαθών, υλικών και υπηρεσιών. </w:t>
      </w:r>
      <w:r>
        <w:rPr>
          <w:vanish/>
          <w:sz w:val="21"/>
          <w:szCs w:val="21"/>
        </w:rPr>
        <w:t xml:space="preserve"> </w:t>
      </w:r>
      <w:r>
        <w:rPr>
          <w:sz w:val="21"/>
          <w:szCs w:val="21"/>
        </w:rPr>
        <w:t>Εμπορικές εκπτώσεις, μειώσεις τιμών και άλλα παρόμοια στοιχεία αφαιρούνται κατά τον προσδιορισμό του κόστους κτήσης των αποθεμάτων.</w:t>
      </w:r>
    </w:p>
    <w:p w:rsidR="00E54474" w:rsidRDefault="00E54474" w:rsidP="00E54474">
      <w:pPr>
        <w:ind w:left="-851"/>
        <w:rPr>
          <w:b/>
        </w:rPr>
      </w:pPr>
      <w:r>
        <w:rPr>
          <w:b/>
        </w:rPr>
        <w:t xml:space="preserve">Παρ. 20.3.1 </w:t>
      </w:r>
    </w:p>
    <w:p w:rsidR="00E54474" w:rsidRDefault="00E54474" w:rsidP="00E54474">
      <w:pPr>
        <w:ind w:left="-851"/>
        <w:rPr>
          <w:sz w:val="21"/>
          <w:szCs w:val="21"/>
        </w:rPr>
      </w:pPr>
      <w:r>
        <w:rPr>
          <w:bCs/>
          <w:sz w:val="21"/>
          <w:szCs w:val="21"/>
        </w:rPr>
        <w:t xml:space="preserve">    </w:t>
      </w:r>
      <w:r>
        <w:rPr>
          <w:sz w:val="21"/>
          <w:szCs w:val="21"/>
        </w:rPr>
        <w:t>Όταν υπάρχει παραγωγική ή μεταποιητική διαδικασία για προϊόντα ή υπηρεσίες, το κόστος κτήσης αυτών προσδιορίζεται με μία από τις γενικά αποδεκτές μεθόδους κοστολόγησης.</w:t>
      </w:r>
    </w:p>
    <w:p w:rsidR="00F00CC9" w:rsidRDefault="00F00CC9" w:rsidP="00E54474">
      <w:pPr>
        <w:ind w:left="-851"/>
        <w:rPr>
          <w:b/>
        </w:rPr>
      </w:pPr>
    </w:p>
    <w:p w:rsidR="00F00CC9" w:rsidRDefault="00F00CC9" w:rsidP="00E54474">
      <w:pPr>
        <w:ind w:left="-851"/>
        <w:rPr>
          <w:b/>
        </w:rPr>
      </w:pPr>
    </w:p>
    <w:p w:rsidR="00E54474" w:rsidRDefault="00E54474" w:rsidP="00E54474">
      <w:pPr>
        <w:ind w:left="-851"/>
        <w:rPr>
          <w:b/>
        </w:rPr>
      </w:pPr>
      <w:r>
        <w:rPr>
          <w:b/>
        </w:rPr>
        <w:t xml:space="preserve">Παρ. 20.3.2 </w:t>
      </w:r>
    </w:p>
    <w:p w:rsidR="00E54474" w:rsidRDefault="00E54474" w:rsidP="00E54474">
      <w:pPr>
        <w:ind w:left="-851"/>
        <w:rPr>
          <w:sz w:val="21"/>
          <w:szCs w:val="21"/>
        </w:rPr>
      </w:pPr>
      <w:r>
        <w:rPr>
          <w:bCs/>
          <w:sz w:val="21"/>
          <w:szCs w:val="21"/>
        </w:rPr>
        <w:t xml:space="preserve">    </w:t>
      </w:r>
      <w:r>
        <w:rPr>
          <w:sz w:val="21"/>
          <w:szCs w:val="21"/>
        </w:rPr>
        <w:t>Το έμμεσο κόστος παραγωγής (σταθερό ή μεταβλητό) της περιόδου κατανέμεται με μια εύλογη αναλογία στο κόστος παραγωγής των επιμέρους προϊόντων ή υπηρεσιών.</w:t>
      </w:r>
    </w:p>
    <w:p w:rsidR="00E54474" w:rsidRDefault="00E54474" w:rsidP="00E54474">
      <w:pPr>
        <w:ind w:left="-851"/>
        <w:rPr>
          <w:b/>
        </w:rPr>
      </w:pPr>
      <w:r>
        <w:rPr>
          <w:b/>
        </w:rPr>
        <w:t xml:space="preserve">Παρ. 20.3.3 </w:t>
      </w:r>
    </w:p>
    <w:p w:rsidR="00E54474" w:rsidRDefault="00E54474" w:rsidP="00E54474">
      <w:pPr>
        <w:ind w:left="-851"/>
        <w:rPr>
          <w:bCs/>
          <w:sz w:val="21"/>
          <w:szCs w:val="21"/>
        </w:rPr>
      </w:pPr>
      <w:r>
        <w:rPr>
          <w:bCs/>
          <w:sz w:val="21"/>
          <w:szCs w:val="21"/>
        </w:rPr>
        <w:t xml:space="preserve">    Ιδιαίτερα, το σταθερό κόστος παραγωγής (αποσβέσεις, συντήρηση, κ.λπ.) επιμερίζεται με μια εύλογη αναλογία στα επιμέρους παραγόμενα προϊόντα, λαμβάνοντας υπόψη την κανονική παραγωγική δυναμικότητα των παγίων σε πραγματικές συνθήκες λειτουργίας. Το μέγεθος αυτό μπορεί να προκύπτει και απολογιστικά, ως μέσος όρος ενός αριθμού περιόδων.</w:t>
      </w:r>
    </w:p>
    <w:p w:rsidR="00E54474" w:rsidRDefault="00E54474" w:rsidP="00E54474">
      <w:pPr>
        <w:ind w:left="-851"/>
        <w:rPr>
          <w:b/>
        </w:rPr>
      </w:pPr>
      <w:r>
        <w:rPr>
          <w:b/>
        </w:rPr>
        <w:t xml:space="preserve">Παρ. 20.3.4 </w:t>
      </w:r>
    </w:p>
    <w:p w:rsidR="00E54474" w:rsidRDefault="00E54474" w:rsidP="00E54474">
      <w:pPr>
        <w:ind w:left="-851"/>
        <w:rPr>
          <w:bCs/>
          <w:sz w:val="21"/>
          <w:szCs w:val="21"/>
        </w:rPr>
      </w:pPr>
      <w:r>
        <w:rPr>
          <w:bCs/>
          <w:sz w:val="21"/>
          <w:szCs w:val="21"/>
        </w:rPr>
        <w:t xml:space="preserve">    Η απαίτηση για εύλογη κατανομή συνεπάγεται ότι το σταθερό κόστος που αναλογεί σε μειωμένη παραγωγή (κόστος αδράνειας ή κόστος υποαπασχόλησης) αναγνωρίζεται κατευθείαν στην κατάσταση αποτελεσμάτων προσαυξάνοντας το κόστος πωληθέντων, χωρίς να επιβαρύνει το κόστος παραγωγής των αποθεμάτων. Ωστόσο, όταν το κόστος αδράνειας είναι σημαντικό, για την εύλογη παρουσίαση των χρηματοοικονομικών καταστάσεων, το ποσό αυτό μπορεί να μην επιβαρύνει το κόστος πωλήσεων, αλλά να ενσωματώνεται στο κονδύλι «Λοιπά έξοδα και ζημίες», με κατάλληλη γνωστοποίηση στο προσάρτημα.</w:t>
      </w:r>
    </w:p>
    <w:p w:rsidR="00E54474" w:rsidRDefault="00E54474" w:rsidP="00E54474">
      <w:pPr>
        <w:ind w:left="-851"/>
        <w:rPr>
          <w:b/>
        </w:rPr>
      </w:pPr>
      <w:r>
        <w:rPr>
          <w:b/>
        </w:rPr>
        <w:t xml:space="preserve">Παρ. 20.4 </w:t>
      </w:r>
    </w:p>
    <w:p w:rsidR="00E54474" w:rsidRDefault="00E54474" w:rsidP="00E54474">
      <w:pPr>
        <w:ind w:left="-851"/>
        <w:rPr>
          <w:bCs/>
          <w:sz w:val="21"/>
          <w:szCs w:val="21"/>
        </w:rPr>
      </w:pPr>
      <w:r>
        <w:rPr>
          <w:bCs/>
          <w:sz w:val="21"/>
          <w:szCs w:val="21"/>
        </w:rPr>
        <w:t xml:space="preserve">    Τα κόστη διανομής και διοίκησης δεν επιβαρύνουν το κόστος παραγωγής.</w:t>
      </w:r>
    </w:p>
    <w:p w:rsidR="00E54474" w:rsidRDefault="00E54474" w:rsidP="00E54474">
      <w:pPr>
        <w:ind w:left="-851"/>
        <w:rPr>
          <w:b/>
        </w:rPr>
      </w:pPr>
      <w:r>
        <w:rPr>
          <w:b/>
        </w:rPr>
        <w:t xml:space="preserve">Παρ. 20.5.1 </w:t>
      </w:r>
    </w:p>
    <w:p w:rsidR="00E54474" w:rsidRDefault="00E54474" w:rsidP="00E54474">
      <w:pPr>
        <w:ind w:left="-851"/>
        <w:rPr>
          <w:sz w:val="21"/>
          <w:szCs w:val="21"/>
        </w:rPr>
      </w:pPr>
      <w:bookmarkStart w:id="7" w:name="_Toc396290593"/>
      <w:bookmarkStart w:id="8" w:name="_Toc386708195"/>
      <w:bookmarkStart w:id="9" w:name="_Toc386707701"/>
      <w:bookmarkStart w:id="10" w:name="_Toc372186440"/>
      <w:bookmarkStart w:id="11" w:name="_Toc372185861"/>
      <w:bookmarkStart w:id="12" w:name="_Toc368315136"/>
      <w:r>
        <w:rPr>
          <w:bCs/>
          <w:sz w:val="21"/>
          <w:szCs w:val="21"/>
        </w:rPr>
        <w:t xml:space="preserve">    </w:t>
      </w:r>
      <w:r>
        <w:rPr>
          <w:sz w:val="21"/>
          <w:szCs w:val="21"/>
        </w:rPr>
        <w:t xml:space="preserve">Όταν απαιτείται σημαντική περίοδος χρόνου για να καταστούν τα αποθέματα έτοιμα για την προοριζόμενη χρήση ή πώλησή τους, το κόστος των αποθεμάτων μπορεί να επιβαρύνεται </w:t>
      </w:r>
      <w:r>
        <w:rPr>
          <w:bCs/>
          <w:sz w:val="21"/>
          <w:szCs w:val="21"/>
        </w:rPr>
        <w:t>με</w:t>
      </w:r>
      <w:r>
        <w:rPr>
          <w:sz w:val="21"/>
          <w:szCs w:val="21"/>
        </w:rPr>
        <w:t xml:space="preserve"> τόκους εντόκων υποχρεώσεων, κατά το μέρος που οι τόκοι αυτοί αναλογούν στα εν λόγω αποθέματα και για την προαναφερθείσα περίοδο.</w:t>
      </w:r>
      <w:bookmarkEnd w:id="7"/>
      <w:bookmarkEnd w:id="8"/>
      <w:bookmarkEnd w:id="9"/>
      <w:bookmarkEnd w:id="10"/>
      <w:bookmarkEnd w:id="11"/>
      <w:bookmarkEnd w:id="12"/>
      <w:r>
        <w:rPr>
          <w:sz w:val="21"/>
          <w:szCs w:val="21"/>
        </w:rPr>
        <w:t xml:space="preserve"> Η ρητή αναφορά του νόμου σε «σημαντική περίοδο χρόνου για να καταστούν τα αποθέματα έτοιμα για την προοριζόμενη χρήση ή πώλησή τους» θέτει ένα όριο σημαντικότητας κατά την κρίση της οντότητας.</w:t>
      </w:r>
    </w:p>
    <w:p w:rsidR="00E54474" w:rsidRDefault="00E54474" w:rsidP="00E54474">
      <w:pPr>
        <w:ind w:left="-851"/>
        <w:rPr>
          <w:b/>
        </w:rPr>
      </w:pPr>
      <w:r>
        <w:rPr>
          <w:b/>
        </w:rPr>
        <w:t xml:space="preserve">Παρ. 20.5.2 </w:t>
      </w:r>
    </w:p>
    <w:p w:rsidR="00E54474" w:rsidRDefault="00E54474" w:rsidP="00E54474">
      <w:pPr>
        <w:ind w:left="-851"/>
        <w:rPr>
          <w:sz w:val="21"/>
          <w:szCs w:val="21"/>
        </w:rPr>
      </w:pPr>
      <w:r>
        <w:rPr>
          <w:bCs/>
          <w:sz w:val="21"/>
          <w:szCs w:val="21"/>
        </w:rPr>
        <w:t xml:space="preserve">    </w:t>
      </w:r>
      <w:r>
        <w:rPr>
          <w:sz w:val="21"/>
          <w:szCs w:val="21"/>
        </w:rPr>
        <w:t>Συνήθεις περιπτώσεις αποθεμάτων το κόστος των οποίων μπορεί να επιβαρύνεται με τόκους είναι η κατασκευή ακινήτων, η παραγωγή βιολογικών προϊόντων (π.χ. ιχθυοκαλλιέργεια), τα προϊόντα που απαιτούν σημαντικό χρόνο ωρίμανσης (π.χ. τυρί ή κρασί), καθώς και τα επί παραγγελία παραγόμενα αποθέματα που απαιτούν σημαντική κατασκευαστική περίοδο.</w:t>
      </w:r>
    </w:p>
    <w:p w:rsidR="00E54474" w:rsidRDefault="00E54474" w:rsidP="00E54474">
      <w:pPr>
        <w:ind w:left="-851"/>
        <w:rPr>
          <w:b/>
        </w:rPr>
      </w:pPr>
      <w:r>
        <w:rPr>
          <w:b/>
        </w:rPr>
        <w:t xml:space="preserve">Παρ. 20.5.3 </w:t>
      </w:r>
    </w:p>
    <w:p w:rsidR="00E54474" w:rsidRDefault="00E54474" w:rsidP="00E54474">
      <w:pPr>
        <w:ind w:left="-851"/>
        <w:rPr>
          <w:bCs/>
          <w:sz w:val="21"/>
          <w:szCs w:val="21"/>
        </w:rPr>
      </w:pPr>
      <w:r>
        <w:rPr>
          <w:bCs/>
          <w:sz w:val="21"/>
          <w:szCs w:val="21"/>
        </w:rPr>
        <w:t xml:space="preserve">    </w:t>
      </w:r>
      <w:r>
        <w:rPr>
          <w:sz w:val="21"/>
          <w:szCs w:val="21"/>
        </w:rPr>
        <w:t>Διευκρινίζεται ότι η απαίτηση του άρθρου 17 για συνέπεια στην εφαρμογή των λογιστικών πολιτικών σημαίνει ότι η δυνατότητα επίρριψης τόκων στην παραγωγή παρέχεται για το σύνολο των παραγόμενων ειδών, παγίων ή αποθεμάτων. Δηλαδή, δεν γίνεται αποδεκτή η επίρριψη τόκων μόνο στα αποθέματα και όχι στα ιδιοπαραγόμενα πάγια εφόσον υπάρχουν. Πολύ δε περισσότερο δεν είναι αποδεκτή η επίρριψη αναλογίας τόκων σε επιλεγμένα μόνο στοιχεία των αποθεμάτων ή των ιδιοπαραγόμενων παγίων.</w:t>
      </w:r>
    </w:p>
    <w:p w:rsidR="00E54474" w:rsidRDefault="00E54474" w:rsidP="00E54474">
      <w:pPr>
        <w:ind w:left="-851"/>
        <w:rPr>
          <w:b/>
        </w:rPr>
      </w:pPr>
      <w:r>
        <w:rPr>
          <w:b/>
        </w:rPr>
        <w:t xml:space="preserve">Παρ. 20.5.4 </w:t>
      </w:r>
    </w:p>
    <w:p w:rsidR="00E54474" w:rsidRDefault="00E54474" w:rsidP="00E54474">
      <w:pPr>
        <w:ind w:left="-851"/>
        <w:rPr>
          <w:bCs/>
          <w:sz w:val="21"/>
          <w:szCs w:val="21"/>
        </w:rPr>
      </w:pPr>
      <w:r>
        <w:rPr>
          <w:bCs/>
          <w:sz w:val="21"/>
          <w:szCs w:val="21"/>
        </w:rPr>
        <w:t xml:space="preserve">    Η δυνατότητα επίρριψης τόκων παρέχεται και για συμβόλαια παροχής υπηρεσιών που λογιστικοποιούνται με τη μέθοδο του ποσοστού ολοκλήρωσης.</w:t>
      </w:r>
    </w:p>
    <w:p w:rsidR="00E54474" w:rsidRDefault="00E54474" w:rsidP="00E54474">
      <w:pPr>
        <w:ind w:left="-851"/>
        <w:rPr>
          <w:b/>
        </w:rPr>
      </w:pPr>
      <w:r>
        <w:rPr>
          <w:b/>
        </w:rPr>
        <w:t xml:space="preserve">Παρ. 20.6.1 </w:t>
      </w:r>
    </w:p>
    <w:p w:rsidR="00E54474" w:rsidRDefault="00E54474" w:rsidP="00E54474">
      <w:pPr>
        <w:ind w:left="-851"/>
        <w:rPr>
          <w:sz w:val="21"/>
          <w:szCs w:val="21"/>
        </w:rPr>
      </w:pPr>
      <w:bookmarkStart w:id="13" w:name="_Toc396290594"/>
      <w:bookmarkStart w:id="14" w:name="_Toc386708196"/>
      <w:bookmarkStart w:id="15" w:name="_Toc386707702"/>
      <w:bookmarkStart w:id="16" w:name="_Toc372186441"/>
      <w:bookmarkStart w:id="17" w:name="_Toc372185862"/>
      <w:bookmarkStart w:id="18" w:name="_Toc368315137"/>
      <w:r>
        <w:rPr>
          <w:bCs/>
          <w:sz w:val="21"/>
          <w:szCs w:val="21"/>
        </w:rPr>
        <w:t xml:space="preserve">    </w:t>
      </w:r>
      <w:r>
        <w:rPr>
          <w:sz w:val="21"/>
          <w:szCs w:val="21"/>
        </w:rPr>
        <w:t>Μετά την αρχική αναγνώριση, τα αποθέματα επιμετρούνται στην κατ’ είδος χαμηλότερη αξία μεταξύ κόστους κτήσης και καθαρής ρευστοποιήσιμης αξίας</w:t>
      </w:r>
      <w:bookmarkEnd w:id="13"/>
      <w:bookmarkEnd w:id="14"/>
      <w:bookmarkEnd w:id="15"/>
      <w:bookmarkEnd w:id="16"/>
      <w:bookmarkEnd w:id="17"/>
      <w:bookmarkEnd w:id="18"/>
      <w:r>
        <w:rPr>
          <w:sz w:val="21"/>
          <w:szCs w:val="21"/>
        </w:rPr>
        <w:t>, ώστε να διασφαλίζεται ότι τα αποθέματα παρουσιάζονται πάντοτε σε ποσό που είναι ανακτήσιμο.</w:t>
      </w:r>
    </w:p>
    <w:p w:rsidR="00E54474" w:rsidRDefault="00E54474" w:rsidP="00E54474">
      <w:pPr>
        <w:ind w:left="-851"/>
        <w:rPr>
          <w:b/>
        </w:rPr>
      </w:pPr>
      <w:r>
        <w:rPr>
          <w:b/>
        </w:rPr>
        <w:t xml:space="preserve">Παρ. 20.6.2 </w:t>
      </w:r>
    </w:p>
    <w:p w:rsidR="00E54474" w:rsidRDefault="00E54474" w:rsidP="00E54474">
      <w:pPr>
        <w:ind w:left="-851"/>
        <w:rPr>
          <w:sz w:val="21"/>
          <w:szCs w:val="21"/>
          <w:lang w:eastAsia="zh-CN"/>
        </w:rPr>
      </w:pPr>
      <w:r>
        <w:rPr>
          <w:bCs/>
          <w:sz w:val="21"/>
          <w:szCs w:val="21"/>
        </w:rPr>
        <w:t xml:space="preserve">    Όταν η </w:t>
      </w:r>
      <w:r>
        <w:rPr>
          <w:sz w:val="21"/>
          <w:szCs w:val="21"/>
          <w:lang w:eastAsia="zh-CN"/>
        </w:rPr>
        <w:t>καθαρή ρευστοποιήσιμη αξία είναι μικρότερη του κόστους κτήσης των αποθεμάτων, η διαφορά (ζημιά) επιβαρύνει το κόστος πωληθέντων στην κατάσταση αποτελεσμάτων. Ωστόσο, όταν η ζημία απομείωσης είναι σημαντική, για την εύλογη παρουσίαση των χρηματοοικονομικών καταστάσεων, η ζημιά αυτή μπορεί να μην επιβαρύνει το κόστος πωλήσεων αλλά να ενσωματώνεται στο κονδύλι «Απομειώσεις περιουσιακών στοιχείων», με κατάλληλη γνωστοποίηση στο προσάρτημα.</w:t>
      </w:r>
    </w:p>
    <w:p w:rsidR="00E54474" w:rsidRDefault="00E54474" w:rsidP="00E54474">
      <w:pPr>
        <w:ind w:left="-851"/>
        <w:rPr>
          <w:b/>
        </w:rPr>
      </w:pPr>
      <w:r>
        <w:rPr>
          <w:b/>
        </w:rPr>
        <w:t>Παράδειγμα</w:t>
      </w:r>
    </w:p>
    <w:p w:rsidR="00E54474" w:rsidRDefault="00E54474" w:rsidP="00E54474">
      <w:pPr>
        <w:ind w:left="-851"/>
        <w:rPr>
          <w:bCs/>
          <w:sz w:val="21"/>
          <w:szCs w:val="21"/>
        </w:rPr>
      </w:pPr>
      <w:r>
        <w:rPr>
          <w:bCs/>
          <w:sz w:val="21"/>
          <w:szCs w:val="21"/>
        </w:rPr>
        <w:t xml:space="preserve">    Την 31</w:t>
      </w:r>
      <w:r>
        <w:rPr>
          <w:bCs/>
          <w:sz w:val="21"/>
          <w:szCs w:val="21"/>
          <w:vertAlign w:val="superscript"/>
        </w:rPr>
        <w:t>η</w:t>
      </w:r>
      <w:r>
        <w:rPr>
          <w:bCs/>
          <w:sz w:val="21"/>
          <w:szCs w:val="21"/>
        </w:rPr>
        <w:t xml:space="preserve"> Δεκεμβρίου του 20Χ1 η επιχείρηση είχε στην κατοχή της αποθέματα για τα οποία δίνονται οι παρακάτω πληροφορίες.</w:t>
      </w:r>
    </w:p>
    <w:bookmarkStart w:id="19" w:name="_MON_1490945575"/>
    <w:bookmarkStart w:id="20" w:name="_MON_1490945652"/>
    <w:bookmarkStart w:id="21" w:name="_MON_1490690606"/>
    <w:bookmarkEnd w:id="19"/>
    <w:bookmarkEnd w:id="20"/>
    <w:bookmarkEnd w:id="21"/>
    <w:bookmarkStart w:id="22" w:name="_MON_1490945562"/>
    <w:bookmarkEnd w:id="22"/>
    <w:p w:rsidR="00E54474" w:rsidRDefault="00E54474" w:rsidP="00E54474">
      <w:pPr>
        <w:ind w:left="-851"/>
        <w:rPr>
          <w:bCs/>
          <w:sz w:val="21"/>
          <w:szCs w:val="21"/>
        </w:rPr>
      </w:pPr>
      <w:r>
        <w:rPr>
          <w:bCs/>
          <w:sz w:val="21"/>
          <w:szCs w:val="21"/>
        </w:rPr>
        <w:object w:dxaOrig="7425" w:dyaOrig="2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103.5pt" o:ole="">
            <v:imagedata r:id="rId13" o:title=""/>
          </v:shape>
          <o:OLEObject Type="Embed" ProgID="Excel.Sheet.12" ShapeID="_x0000_i1025" DrawAspect="Content" ObjectID="_1546949124" r:id="rId14"/>
        </w:object>
      </w:r>
    </w:p>
    <w:p w:rsidR="00F00CC9" w:rsidRDefault="00E54474" w:rsidP="00E54474">
      <w:pPr>
        <w:ind w:left="-851"/>
        <w:rPr>
          <w:bCs/>
          <w:sz w:val="21"/>
          <w:szCs w:val="21"/>
        </w:rPr>
      </w:pPr>
      <w:r>
        <w:rPr>
          <w:bCs/>
          <w:sz w:val="21"/>
          <w:szCs w:val="21"/>
        </w:rPr>
        <w:t xml:space="preserve">    Ζητείται να προσδιοριστεί η αξία επιμέτρησης για τα σενάρια Α και Β και το ποσό της σχετικής ζημιάς, εάν υπάρχει.</w:t>
      </w:r>
    </w:p>
    <w:p w:rsidR="00E54474" w:rsidRDefault="00E54474" w:rsidP="00E54474">
      <w:pPr>
        <w:ind w:left="-851"/>
        <w:rPr>
          <w:b/>
        </w:rPr>
      </w:pPr>
      <w:r>
        <w:rPr>
          <w:b/>
        </w:rPr>
        <w:t>Ανάλυση - απάντηση</w:t>
      </w:r>
    </w:p>
    <w:bookmarkStart w:id="23" w:name="_MON_1490945699"/>
    <w:bookmarkStart w:id="24" w:name="_MON_1490945761"/>
    <w:bookmarkStart w:id="25" w:name="_MON_1490690613"/>
    <w:bookmarkEnd w:id="23"/>
    <w:bookmarkEnd w:id="24"/>
    <w:bookmarkEnd w:id="25"/>
    <w:bookmarkStart w:id="26" w:name="_MON_1490945687"/>
    <w:bookmarkEnd w:id="26"/>
    <w:p w:rsidR="00E54474" w:rsidRDefault="00E54474" w:rsidP="00E54474">
      <w:pPr>
        <w:ind w:left="-851"/>
        <w:rPr>
          <w:bCs/>
          <w:sz w:val="21"/>
          <w:szCs w:val="21"/>
        </w:rPr>
      </w:pPr>
      <w:r>
        <w:rPr>
          <w:bCs/>
          <w:sz w:val="21"/>
          <w:szCs w:val="21"/>
        </w:rPr>
        <w:object w:dxaOrig="7440" w:dyaOrig="2235">
          <v:shape id="_x0000_i1026" type="#_x0000_t75" style="width:372pt;height:111.75pt" o:ole="">
            <v:imagedata r:id="rId15" o:title=""/>
          </v:shape>
          <o:OLEObject Type="Embed" ProgID="Excel.Sheet.12" ShapeID="_x0000_i1026" DrawAspect="Content" ObjectID="_1546949125" r:id="rId16"/>
        </w:object>
      </w:r>
    </w:p>
    <w:p w:rsidR="00E54474" w:rsidRDefault="00E54474" w:rsidP="00E54474">
      <w:pPr>
        <w:ind w:left="-851"/>
        <w:rPr>
          <w:b/>
        </w:rPr>
      </w:pPr>
      <w:r>
        <w:rPr>
          <w:b/>
        </w:rPr>
        <w:t>Εγγραφή απομείωσης αποθεμάτων 31.12.20Χ1 περιπτώσεως Β</w:t>
      </w:r>
    </w:p>
    <w:p w:rsidR="00E54474" w:rsidRDefault="00E54474" w:rsidP="00E54474">
      <w:pPr>
        <w:ind w:left="-851"/>
        <w:rPr>
          <w:sz w:val="21"/>
          <w:szCs w:val="21"/>
        </w:rPr>
      </w:pPr>
      <w:r>
        <w:rPr>
          <w:sz w:val="21"/>
          <w:szCs w:val="21"/>
        </w:rPr>
        <w:t>……………………………………………………</w:t>
      </w:r>
      <w:r>
        <w:rPr>
          <w:b/>
          <w:sz w:val="21"/>
          <w:szCs w:val="21"/>
        </w:rPr>
        <w:t>31-12-20Χ1</w:t>
      </w:r>
      <w:r>
        <w:rPr>
          <w:sz w:val="21"/>
          <w:szCs w:val="21"/>
        </w:rPr>
        <w:t>………………………………………………</w:t>
      </w:r>
    </w:p>
    <w:p w:rsidR="00E54474" w:rsidRDefault="00E54474" w:rsidP="00E54474">
      <w:pPr>
        <w:autoSpaceDE w:val="0"/>
        <w:autoSpaceDN w:val="0"/>
        <w:adjustRightInd w:val="0"/>
        <w:spacing w:after="0" w:line="280" w:lineRule="atLeast"/>
        <w:ind w:left="-851"/>
        <w:textAlignment w:val="baseline"/>
        <w:rPr>
          <w:b/>
          <w:sz w:val="21"/>
          <w:szCs w:val="21"/>
        </w:rPr>
      </w:pPr>
      <w:r>
        <w:rPr>
          <w:b/>
          <w:sz w:val="21"/>
          <w:szCs w:val="21"/>
        </w:rPr>
        <w:t>61 Ζημίες επιμέτρησης περιουσιακών στοιχείων</w:t>
      </w:r>
    </w:p>
    <w:p w:rsidR="00E54474" w:rsidRDefault="00E54474" w:rsidP="00E54474">
      <w:pPr>
        <w:tabs>
          <w:tab w:val="left" w:pos="5970"/>
        </w:tabs>
        <w:autoSpaceDE w:val="0"/>
        <w:autoSpaceDN w:val="0"/>
        <w:adjustRightInd w:val="0"/>
        <w:spacing w:after="0" w:line="280" w:lineRule="atLeast"/>
        <w:ind w:left="-851"/>
        <w:textAlignment w:val="baseline"/>
        <w:rPr>
          <w:sz w:val="21"/>
          <w:szCs w:val="21"/>
        </w:rPr>
      </w:pPr>
      <w:r>
        <w:rPr>
          <w:sz w:val="21"/>
          <w:szCs w:val="21"/>
        </w:rPr>
        <w:t>61.04 Απομείωση αποθεμάτων</w:t>
      </w:r>
      <w:r>
        <w:rPr>
          <w:sz w:val="21"/>
          <w:szCs w:val="21"/>
        </w:rPr>
        <w:tab/>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sz w:val="21"/>
          <w:szCs w:val="21"/>
        </w:rPr>
        <w:t>61.04.01 Απομείωση εμπορεύματος είδος Α΄                                                 10</w:t>
      </w:r>
    </w:p>
    <w:p w:rsidR="00E54474" w:rsidRDefault="00E54474" w:rsidP="00E54474">
      <w:pPr>
        <w:autoSpaceDE w:val="0"/>
        <w:autoSpaceDN w:val="0"/>
        <w:adjustRightInd w:val="0"/>
        <w:spacing w:after="0" w:line="280" w:lineRule="atLeast"/>
        <w:ind w:left="-851"/>
        <w:textAlignment w:val="baseline"/>
        <w:rPr>
          <w:b/>
          <w:sz w:val="21"/>
          <w:szCs w:val="21"/>
        </w:rPr>
      </w:pPr>
      <w:r>
        <w:rPr>
          <w:b/>
          <w:sz w:val="21"/>
          <w:szCs w:val="21"/>
        </w:rPr>
        <w:t xml:space="preserve">    20 Εμπορεύματα</w:t>
      </w:r>
    </w:p>
    <w:p w:rsidR="00E54474" w:rsidRDefault="00E54474" w:rsidP="00E54474">
      <w:pPr>
        <w:autoSpaceDE w:val="0"/>
        <w:autoSpaceDN w:val="0"/>
        <w:adjustRightInd w:val="0"/>
        <w:spacing w:after="0" w:line="280" w:lineRule="atLeast"/>
        <w:ind w:left="-851"/>
        <w:textAlignment w:val="baseline"/>
        <w:rPr>
          <w:sz w:val="21"/>
          <w:szCs w:val="21"/>
        </w:rPr>
      </w:pPr>
      <w:r>
        <w:rPr>
          <w:sz w:val="21"/>
          <w:szCs w:val="21"/>
        </w:rPr>
        <w:t xml:space="preserve">    20.05 Απομείωση αποθεμάτων                                     </w:t>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sz w:val="21"/>
          <w:szCs w:val="21"/>
        </w:rPr>
        <w:t xml:space="preserve">    20.05.01 Απομείωση εμπορεύματος είδος Α΄                                                                                                 10</w:t>
      </w:r>
    </w:p>
    <w:p w:rsidR="00E54474" w:rsidRDefault="00E54474" w:rsidP="00E54474">
      <w:pPr>
        <w:ind w:left="-851"/>
        <w:rPr>
          <w:bCs/>
        </w:rPr>
      </w:pPr>
      <w:r>
        <w:rPr>
          <w:b/>
          <w:sz w:val="21"/>
          <w:szCs w:val="21"/>
        </w:rPr>
        <w:t xml:space="preserve">Απομείωση εμπορεύματος είδος Α΄                                                                                  </w:t>
      </w:r>
    </w:p>
    <w:p w:rsidR="00E54474" w:rsidRDefault="00E54474" w:rsidP="00E54474">
      <w:pPr>
        <w:ind w:left="-851"/>
        <w:rPr>
          <w:b/>
        </w:rPr>
      </w:pPr>
      <w:r>
        <w:rPr>
          <w:b/>
        </w:rPr>
        <w:t xml:space="preserve">Παρ. 20.6.3 </w:t>
      </w:r>
    </w:p>
    <w:p w:rsidR="00E54474" w:rsidRDefault="00E54474" w:rsidP="00E54474">
      <w:pPr>
        <w:ind w:left="-851"/>
        <w:rPr>
          <w:sz w:val="21"/>
          <w:szCs w:val="21"/>
          <w:lang w:eastAsia="zh-CN"/>
        </w:rPr>
      </w:pPr>
      <w:r>
        <w:rPr>
          <w:bCs/>
          <w:sz w:val="21"/>
          <w:szCs w:val="21"/>
        </w:rPr>
        <w:t xml:space="preserve">    </w:t>
      </w:r>
      <w:r>
        <w:rPr>
          <w:sz w:val="21"/>
          <w:szCs w:val="21"/>
          <w:lang w:eastAsia="zh-CN"/>
        </w:rPr>
        <w:t>Η επιβάρυνση του κόστους πωληθέντων μπορεί να γίνεται συγκεντρωτικά. Δηλαδή, με το ποσό της συνολικής ζημίας επιμέτρησης (για όσα είδη αποθεμάτων συντρέχει περίπτωση), γίνεται συγκεντρωτική εγγραφή (με κίνηση αντίθετου λογαριασμού των αποθεμάτων), χωρίς να απαιτείται ενημέρωση του αναλυτικού αρχείου που μπορεί να τηρεί η επιχείρηση κατ’ είδος αποθέματος.</w:t>
      </w:r>
    </w:p>
    <w:p w:rsidR="00E54474" w:rsidRDefault="00E54474" w:rsidP="00E54474">
      <w:pPr>
        <w:ind w:left="-851"/>
        <w:rPr>
          <w:b/>
        </w:rPr>
      </w:pPr>
      <w:r>
        <w:rPr>
          <w:b/>
        </w:rPr>
        <w:t xml:space="preserve">Παρ. 20.6.4 </w:t>
      </w:r>
    </w:p>
    <w:p w:rsidR="00E54474" w:rsidRDefault="00E54474" w:rsidP="00E54474">
      <w:pPr>
        <w:ind w:left="-851"/>
        <w:rPr>
          <w:sz w:val="21"/>
          <w:szCs w:val="21"/>
        </w:rPr>
      </w:pPr>
      <w:r>
        <w:rPr>
          <w:bCs/>
          <w:sz w:val="21"/>
          <w:szCs w:val="21"/>
        </w:rPr>
        <w:t xml:space="preserve">    Ο αντίθετος λογαριασμός παρακολούθησης της σωρευμένης απομείωσης-υποτίμησης των αποθεμάτων του τέλους της περιόδου συνεκτιμάται κατά την επιμέτρηση στο τέλος της επόμενης περιόδου.</w:t>
      </w:r>
    </w:p>
    <w:p w:rsidR="00E54474" w:rsidRDefault="00E54474" w:rsidP="00E54474">
      <w:pPr>
        <w:ind w:left="-851"/>
        <w:rPr>
          <w:b/>
        </w:rPr>
      </w:pPr>
      <w:r>
        <w:rPr>
          <w:b/>
        </w:rPr>
        <w:t xml:space="preserve">Παρ. 20.6.5 </w:t>
      </w:r>
    </w:p>
    <w:p w:rsidR="00E54474" w:rsidRDefault="00E54474" w:rsidP="00E54474">
      <w:pPr>
        <w:ind w:left="-851"/>
        <w:rPr>
          <w:sz w:val="21"/>
          <w:szCs w:val="21"/>
          <w:lang w:eastAsia="zh-CN"/>
        </w:rPr>
      </w:pPr>
      <w:r>
        <w:rPr>
          <w:bCs/>
          <w:sz w:val="21"/>
          <w:szCs w:val="21"/>
        </w:rPr>
        <w:t xml:space="preserve">    Η «καθαρή </w:t>
      </w:r>
      <w:r>
        <w:rPr>
          <w:sz w:val="21"/>
          <w:szCs w:val="21"/>
        </w:rPr>
        <w:t xml:space="preserve">ρευστοποιήσιμη αξία» ορίζεται ως </w:t>
      </w:r>
      <w:r>
        <w:rPr>
          <w:bCs/>
          <w:sz w:val="21"/>
          <w:szCs w:val="21"/>
        </w:rPr>
        <w:t>η εκτιμώμενη τιμή διάθεσης του αποθέματος στην κανονική πορεία της επιχειρηματικής δραστηριότητας, μειωμένη κατά το τυχόν κόστος που απαιτείται για την ολοκλήρωσή του και για την πραγματοποίηση της διάθεσης.</w:t>
      </w:r>
      <w:r>
        <w:rPr>
          <w:sz w:val="21"/>
          <w:szCs w:val="21"/>
          <w:lang w:eastAsia="zh-CN"/>
        </w:rPr>
        <w:t xml:space="preserve"> Το κόστος που απαιτείται για την πώληση είναι συνήθως οι προμήθειες πώλησης, τα έξοδα συσκευασίας και τα μεταφορικά.</w:t>
      </w:r>
    </w:p>
    <w:p w:rsidR="00E54474" w:rsidRDefault="00E54474" w:rsidP="00E54474">
      <w:pPr>
        <w:ind w:left="-851"/>
        <w:rPr>
          <w:b/>
        </w:rPr>
      </w:pPr>
      <w:r>
        <w:rPr>
          <w:b/>
        </w:rPr>
        <w:t xml:space="preserve">Παρ. 20.6.6 </w:t>
      </w:r>
    </w:p>
    <w:p w:rsidR="00E54474" w:rsidRDefault="00E54474" w:rsidP="00E54474">
      <w:pPr>
        <w:ind w:left="-851"/>
        <w:rPr>
          <w:sz w:val="21"/>
          <w:szCs w:val="21"/>
        </w:rPr>
      </w:pPr>
      <w:r>
        <w:rPr>
          <w:bCs/>
          <w:sz w:val="21"/>
          <w:szCs w:val="21"/>
        </w:rPr>
        <w:t xml:space="preserve">    </w:t>
      </w:r>
      <w:r>
        <w:rPr>
          <w:sz w:val="21"/>
          <w:szCs w:val="21"/>
          <w:lang w:eastAsia="zh-CN"/>
        </w:rPr>
        <w:t>Για τις περιπτώσεις των υλικών που προορίζονται για μεταποίηση, το θέμα του προσδιορισμού της καθαρής ρευστοποιήσιμης αξίας τους είναι πιο σύνθετο. Στην περίπτωση αυτή πρέπει να λαμβάνεται υπόψη το συνολικό κόστος παραγωγής και το καθαρό τίμημα πώλησης του έτοιμου προϊόντος.</w:t>
      </w:r>
    </w:p>
    <w:p w:rsidR="00E54474" w:rsidRDefault="00E54474" w:rsidP="00E54474">
      <w:pPr>
        <w:ind w:left="-851"/>
        <w:rPr>
          <w:b/>
        </w:rPr>
      </w:pPr>
      <w:r>
        <w:rPr>
          <w:b/>
        </w:rPr>
        <w:t xml:space="preserve">Παρ. 20.7.1 </w:t>
      </w:r>
    </w:p>
    <w:p w:rsidR="00E54474" w:rsidRDefault="00E54474" w:rsidP="00E54474">
      <w:pPr>
        <w:ind w:left="-851"/>
        <w:rPr>
          <w:bCs/>
          <w:sz w:val="21"/>
          <w:szCs w:val="21"/>
        </w:rPr>
      </w:pPr>
      <w:r>
        <w:rPr>
          <w:bCs/>
          <w:sz w:val="21"/>
          <w:szCs w:val="21"/>
        </w:rPr>
        <w:t xml:space="preserve">    Το κόστος κτήσης προσδιορίζεται με μία γενικά αποδεκτή μέθοδο, όπως η </w:t>
      </w:r>
      <w:r>
        <w:rPr>
          <w:bCs/>
          <w:sz w:val="21"/>
          <w:szCs w:val="21"/>
          <w:lang w:val="en-US"/>
        </w:rPr>
        <w:t>FIFO</w:t>
      </w:r>
      <w:r>
        <w:rPr>
          <w:bCs/>
          <w:sz w:val="21"/>
          <w:szCs w:val="21"/>
        </w:rPr>
        <w:t xml:space="preserve">, η μέθοδος του μέσου σταθμικού όρου σε όλες τις αποδεκτές εκδοχές της, ή και η μέθοδος της λιανικής (βλέπε παρ. 4.4.4 της εγκυκλίου ΠΟΛ. 1003/2014). Η </w:t>
      </w:r>
      <w:r>
        <w:rPr>
          <w:bCs/>
          <w:sz w:val="21"/>
          <w:szCs w:val="21"/>
          <w:lang w:val="en-US"/>
        </w:rPr>
        <w:t>LIFO</w:t>
      </w:r>
      <w:r>
        <w:rPr>
          <w:bCs/>
          <w:sz w:val="21"/>
          <w:szCs w:val="21"/>
        </w:rPr>
        <w:t xml:space="preserve"> δεν είναι αποδεκτή μέθοδος.</w:t>
      </w:r>
    </w:p>
    <w:p w:rsidR="00E54474" w:rsidRDefault="00E54474" w:rsidP="00E54474">
      <w:pPr>
        <w:ind w:left="-851"/>
        <w:rPr>
          <w:b/>
        </w:rPr>
      </w:pPr>
      <w:r>
        <w:rPr>
          <w:b/>
        </w:rPr>
        <w:t xml:space="preserve">Παρ. 20.7.2 </w:t>
      </w:r>
    </w:p>
    <w:p w:rsidR="00E54474" w:rsidRDefault="00E54474" w:rsidP="00E54474">
      <w:pPr>
        <w:ind w:left="-851"/>
        <w:rPr>
          <w:bCs/>
          <w:sz w:val="21"/>
          <w:szCs w:val="21"/>
        </w:rPr>
      </w:pPr>
      <w:r>
        <w:rPr>
          <w:bCs/>
          <w:sz w:val="21"/>
          <w:szCs w:val="21"/>
        </w:rPr>
        <w:t xml:space="preserve">    </w:t>
      </w:r>
      <w:r>
        <w:rPr>
          <w:bCs/>
          <w:color w:val="000000"/>
          <w:sz w:val="21"/>
          <w:szCs w:val="21"/>
        </w:rPr>
        <w:t>Η μέθοδος του εξατομικευμένου κόστους εφαρμόζεται για τον προσδιορισμό του κόστους κτήσης αποθεμάτων που δεν είναι συνήθως αντικαταστατά, όπως τα επί παραγγελία (π.χ. ειδικών προδιαγραφών) αποθέματα.</w:t>
      </w:r>
    </w:p>
    <w:p w:rsidR="00F00CC9" w:rsidRDefault="00F00CC9" w:rsidP="00E54474">
      <w:pPr>
        <w:ind w:left="-851"/>
        <w:rPr>
          <w:b/>
        </w:rPr>
      </w:pPr>
    </w:p>
    <w:p w:rsidR="00E54474" w:rsidRDefault="00E54474" w:rsidP="00E54474">
      <w:pPr>
        <w:ind w:left="-851"/>
        <w:rPr>
          <w:b/>
        </w:rPr>
      </w:pPr>
      <w:r>
        <w:rPr>
          <w:b/>
        </w:rPr>
        <w:t xml:space="preserve">Παρ. 20.7.3 </w:t>
      </w:r>
    </w:p>
    <w:p w:rsidR="00E54474" w:rsidRDefault="00E54474" w:rsidP="00E54474">
      <w:pPr>
        <w:ind w:left="-851"/>
        <w:rPr>
          <w:bCs/>
        </w:rPr>
      </w:pPr>
      <w:r>
        <w:rPr>
          <w:bCs/>
          <w:sz w:val="21"/>
          <w:szCs w:val="21"/>
        </w:rPr>
        <w:t xml:space="preserve">    Ο προσδιορισμός του κόστους κτήσης για αποθέματα που έχουν την ίδια φύση ή χρήση γίνεται με την ίδια μέθοδο.  Ο προσδιορισμός του κόστους κτήσης για αποθέματα που δεν έχουν την ίδια φύση ή χρήση μπορεί να γίνει με διαφορετικές μεθόδους. Για παράδειγμα μπορεί από την ίδια οντότητα, να χρησιμοποιείται η μέθοδος </w:t>
      </w:r>
      <w:r>
        <w:rPr>
          <w:bCs/>
          <w:sz w:val="21"/>
          <w:szCs w:val="21"/>
          <w:lang w:val="en-US"/>
        </w:rPr>
        <w:t>FIFO</w:t>
      </w:r>
      <w:r>
        <w:rPr>
          <w:bCs/>
          <w:sz w:val="21"/>
          <w:szCs w:val="21"/>
        </w:rPr>
        <w:t xml:space="preserve"> για τα υλικά προς βιομηχανοποίηση και η μέθοδος του μέσου σταθμικού όρου για τα εμπορεύματα.</w:t>
      </w:r>
    </w:p>
    <w:p w:rsidR="00E54474" w:rsidRDefault="00E54474" w:rsidP="00E54474">
      <w:pPr>
        <w:ind w:left="-851"/>
        <w:rPr>
          <w:b/>
        </w:rPr>
      </w:pPr>
      <w:r>
        <w:rPr>
          <w:b/>
        </w:rPr>
        <w:t xml:space="preserve">Παρ. 20.8 </w:t>
      </w:r>
    </w:p>
    <w:p w:rsidR="00E54474" w:rsidRDefault="00E54474" w:rsidP="00E54474">
      <w:pPr>
        <w:ind w:left="-851"/>
        <w:rPr>
          <w:bCs/>
          <w:sz w:val="21"/>
          <w:szCs w:val="21"/>
        </w:rPr>
      </w:pPr>
      <w:r>
        <w:rPr>
          <w:bCs/>
          <w:sz w:val="21"/>
          <w:szCs w:val="21"/>
        </w:rPr>
        <w:t xml:space="preserve">    Οι αγορές αναλώσιμων υλικών που δεν είναι σημαντικές για το μέγεθος της οντότητας μπορούν να αντιμετωπίζονται ως έξοδα της περιόδου. Σύμφωνα με την παράγραφο 2.2.201 περίπτωση θ΄ «αναλώσιμα υλικά είναι τα υλικά αγαθά που η οικονομική μονάδα αποκτάει με προορισμό την ανάλωσή τους για συντήρηση του πάγιου εξοπλισμού της και γενικά για την εξασφάλιση των αναγκαίων συνθηκών λειτουργίας των κύριων και βοηθητικών υπηρεσιών της (π.χ. Μικρά εργαλεία, Λιγνίτης, Πετρέλαιο, Μαζούτ, Λοιπά καύσιμα-λιπαντικά, Διάφορα οικοδομικά υλικά κ.λπ.). </w:t>
      </w:r>
    </w:p>
    <w:p w:rsidR="00E54474" w:rsidRDefault="00E54474" w:rsidP="00E54474">
      <w:pPr>
        <w:ind w:left="-851"/>
        <w:rPr>
          <w:b/>
        </w:rPr>
      </w:pPr>
      <w:r>
        <w:rPr>
          <w:b/>
        </w:rPr>
        <w:t>Παράρτημα άρθρου 20: Ειδικά θέματα παρακολούθησης βιολογικών αποθεμάτων</w:t>
      </w:r>
    </w:p>
    <w:p w:rsidR="00E54474" w:rsidRDefault="00E54474" w:rsidP="00E54474">
      <w:pPr>
        <w:ind w:left="-851"/>
        <w:rPr>
          <w:sz w:val="21"/>
          <w:szCs w:val="21"/>
        </w:rPr>
      </w:pPr>
      <w:r>
        <w:rPr>
          <w:b/>
          <w:sz w:val="21"/>
          <w:szCs w:val="21"/>
        </w:rPr>
        <w:t>Π20.1</w:t>
      </w:r>
      <w:r>
        <w:rPr>
          <w:sz w:val="21"/>
          <w:szCs w:val="21"/>
        </w:rPr>
        <w:t xml:space="preserve"> Η παραγωγή βιολογικών αγαθών (αποθεμάτων ή παγίων) είναι μια πολύπλοκη διαδικασία που μόνο με σχετική ακρίβεια μπορεί να ακολουθήσει συγκεκριμένα πρότυπα, σε αντίθεση με ότι κατά κανόνα συμβαίνει στην παραγωγή μη βιολογικών αγαθών. Η εξέλιξη ενός βιολογικού αγαθού επηρεάζεται, συχνά μάλιστα σε σημαντικό βαθμό, τόσο από τα γενετικά χαρακτηριστικά του ίδιου του αγαθού (της μονάδας) όσο και από απρόβλεπτες και ευμετάβλητες ή και άγνωστες επιστημονικά παραμέτρους του περιβάλλοντος, και γενικότερα από τις επικρατούσες συνθήκες.</w:t>
      </w:r>
    </w:p>
    <w:p w:rsidR="00E54474" w:rsidRDefault="00E54474" w:rsidP="00E54474">
      <w:pPr>
        <w:ind w:left="-851"/>
        <w:rPr>
          <w:sz w:val="21"/>
          <w:szCs w:val="21"/>
        </w:rPr>
      </w:pPr>
      <w:r>
        <w:rPr>
          <w:b/>
          <w:sz w:val="21"/>
          <w:szCs w:val="21"/>
        </w:rPr>
        <w:t xml:space="preserve">Π20.2 </w:t>
      </w:r>
      <w:r>
        <w:rPr>
          <w:sz w:val="21"/>
          <w:szCs w:val="21"/>
        </w:rPr>
        <w:t>Για παράδειγμα, σε ένα φυτώριο καλλωπιστικών ή παραγωγικών φυτών που καλλιεργούνται είτε σε γλάστρες είτε στο χώμα, ενώ όλες οι μονάδες ενός είδους υπόκεινται σε κοινή καλλιέργεια, αρκετές από αυτές μπορεί να αναπτύσσονται με διαφορετικούς ρυθμούς (ταχύτητα ανάπτυξης), να αποκτούν ιδιαίτερα χαρακτηριστικά από πλευράς αισθητικής, να γίνονται καχεκτικές ή να νεκρώνονται, ενώ υπάρχει πάντοτε η απειλή ασθενειών που μπορεί να έχουν ιδιαίτερα σημαντικές αρνητικές συνέπειες.</w:t>
      </w:r>
    </w:p>
    <w:p w:rsidR="00E54474" w:rsidRDefault="00E54474" w:rsidP="00E54474">
      <w:pPr>
        <w:ind w:left="-851"/>
        <w:rPr>
          <w:sz w:val="21"/>
          <w:szCs w:val="21"/>
        </w:rPr>
      </w:pPr>
      <w:r>
        <w:rPr>
          <w:b/>
          <w:sz w:val="21"/>
          <w:szCs w:val="21"/>
        </w:rPr>
        <w:t>Π20.3</w:t>
      </w:r>
      <w:r>
        <w:rPr>
          <w:sz w:val="21"/>
          <w:szCs w:val="21"/>
        </w:rPr>
        <w:t xml:space="preserve"> Για κάθε παρτίδα φυτών που αγοράζει μια επιχείρηση για περαιτέρω καλλιέργεια και ανάπτυξη, συνήθως καθορίζεται ένα επίπεδο ανάπτυξης στο οποίο επιδιώκεται η πώληση. Ωστόσο, ανάλογα με τις επικρατούσες συνθήκες, τις ευκαιρίες και δυνατότητες στην αγορά, η πώληση μπορεί να γίνει είτε νωρίτερα είτε αργότερα. Το γεγονός αυτό σημαίνει ότι τα φυτά που έχουν φθάσει στην επιθυμητή ηλικία πώλησης συνεχίζουν να απορροφούν κόστος ανάπτυξης-συντήρησης, σε αντίθεση με τα μη βιολογικά αποθέματα, τα οποία όταν καταστούν έτοιμα για τη χρήση που προορίζονται παύουν να επιβαρύνονται με περαιτέρω κόστος.</w:t>
      </w:r>
    </w:p>
    <w:p w:rsidR="00E54474" w:rsidRDefault="00E54474" w:rsidP="00E54474">
      <w:pPr>
        <w:ind w:left="-851"/>
        <w:rPr>
          <w:sz w:val="21"/>
          <w:szCs w:val="21"/>
        </w:rPr>
      </w:pPr>
      <w:r>
        <w:rPr>
          <w:b/>
          <w:sz w:val="21"/>
          <w:szCs w:val="21"/>
        </w:rPr>
        <w:t>Π20.4</w:t>
      </w:r>
      <w:r>
        <w:rPr>
          <w:sz w:val="21"/>
          <w:szCs w:val="21"/>
        </w:rPr>
        <w:t xml:space="preserve"> Τα είδη του φυτικού βασιλείου που μπορεί να καλλιεργεί μια επιχείρηση-φυτώριο, σε γλάστρες ή στο χώμα, από γεωπονικής απόψεως ταξινομούνται σε γενικές, βάσει γενετικών χαρακτηριστικών, κατηγορίες (οικογένειες). Παραδείγματα τέτοιων οικογενειών είναι τα ελαιόδεντρα, τα αμπελοειδή, τα οπωροφόρα, τα φοινικοειδή, τα κωνοφόρα, οι θάμνοι, τα καλλωπιστικά, κ.λπ. Εντός κάθε οικογένειας φυτών υπάρχουν κατά κανόνα περισσότερα είδη, τα οποία μπορεί να διαφοροποιούνται γενετικά, όχι όμως απαραίτητα από οικονομικής-λογιστικής άποψης. Για παράδειγμα, μπορεί να μην υφίστανται σημαντικές διαφοροποιήσεις στις τιμές αγοράς, στις δαπάνες που απορροφούν για καλλιέργεια και συντήρηση ή και στην τιμή πώλησης. Επιπλέον, μπορεί να είναι εξαιρετικά δυσχερής και πολυδάπανος ο ακριβής επιμερισμός των σχετικών δαπανών στα μέλη της οικογένειας, ιδίως εάν υπάρχουν σε εξέλιξη μέλη διαφορετικής ηλικίας και ημερομηνίας αγοράς, τα οποία όπως αναφέρθηκε μπορεί να αναπτύσσονται με διαφορετικούς ρυθμούς.</w:t>
      </w:r>
    </w:p>
    <w:p w:rsidR="00E54474" w:rsidRDefault="00E54474" w:rsidP="00E54474">
      <w:pPr>
        <w:ind w:left="-851"/>
        <w:rPr>
          <w:sz w:val="21"/>
          <w:szCs w:val="21"/>
        </w:rPr>
      </w:pPr>
      <w:r>
        <w:rPr>
          <w:b/>
          <w:sz w:val="21"/>
          <w:szCs w:val="21"/>
        </w:rPr>
        <w:t>Π20.5</w:t>
      </w:r>
      <w:r>
        <w:rPr>
          <w:sz w:val="21"/>
          <w:szCs w:val="21"/>
        </w:rPr>
        <w:t xml:space="preserve"> Είναι σύνηθες να κατατάσσονται στην ίδια οικογένεια, βάσει εξωτερικών χαρακτηριστικών και ανεξάρτητα από γενετικές ομοιότητες, είδη φυτών όπως θάμνοι, αναρριχώμενα, πόες ή φυτά εδαφοκάλυψης.</w:t>
      </w:r>
    </w:p>
    <w:p w:rsidR="00E54474" w:rsidRDefault="00E54474" w:rsidP="00E54474">
      <w:pPr>
        <w:ind w:left="-851"/>
        <w:rPr>
          <w:sz w:val="21"/>
          <w:szCs w:val="21"/>
        </w:rPr>
      </w:pPr>
      <w:r>
        <w:rPr>
          <w:b/>
          <w:sz w:val="21"/>
          <w:szCs w:val="21"/>
        </w:rPr>
        <w:t>Π20.6</w:t>
      </w:r>
      <w:r>
        <w:rPr>
          <w:sz w:val="21"/>
          <w:szCs w:val="21"/>
        </w:rPr>
        <w:t xml:space="preserve">  Οι τιμές πώλησης των φυτών προσδιορίζονται από μια σειρά παραγόντων, όπως η ηλικία, το ύψος, ο όγκος της ρίζας, η αισθητική εικόνα του φυτού και η προτίμηση του πελάτη. Άλλοι παράγοντες σχετίζονται με την προσφορά και τη ζήτηση, το διαθέσιμο εισόδημα, τη φυτουγεία (υγιές υλικό, απαλλαγμένο από νόσους) την εξάπλωση επιδημιών, κ.λπ. Γενικότερα πάντως, οι τιμές ενός είδους συχνά μπορεί να παρουσιάζουν σημαντική μεταβλητότητα διαχρονικά. Για παράδειγμα, εντός λίγων μηνών, είναι δυνατόν να πωλούνται σε χαμηλότερη τιμή φυτά που στο μεταξύ έχουν μεγαλώσει, λόγω μεταβολής των οικονομικών συνθηκών ή λόγω μείωσης της εμπορευσιμότητας του φυτού που σχετίζεται με την ηλικία του.</w:t>
      </w:r>
    </w:p>
    <w:p w:rsidR="00E54474" w:rsidRDefault="00E54474" w:rsidP="00E54474">
      <w:pPr>
        <w:ind w:left="-851"/>
        <w:rPr>
          <w:sz w:val="21"/>
          <w:szCs w:val="21"/>
        </w:rPr>
      </w:pPr>
      <w:r>
        <w:rPr>
          <w:b/>
          <w:sz w:val="21"/>
          <w:szCs w:val="21"/>
        </w:rPr>
        <w:t>Π20.7</w:t>
      </w:r>
      <w:r>
        <w:rPr>
          <w:sz w:val="21"/>
          <w:szCs w:val="21"/>
        </w:rPr>
        <w:t xml:space="preserve"> Συχνά, όταν η ζήτηση και οι τιμές μειώνονται σημαντικά, ο παραγωγός μπορεί (ανάλογα με το είδος, π.χ. δενδρύλλια ελιάς) να θέτει παρτίδες φυτών σε «αναστολή ανάπτυξης», μέχρι οι συνθήκες της αγοράς να ανακάμψουν. Στην περίοδο της «αναστολής» τα φυτά απορροφούν ελάχιστο κόστος (π.χ. μόνο πότισμα).</w:t>
      </w:r>
    </w:p>
    <w:p w:rsidR="00E54474" w:rsidRDefault="00E54474" w:rsidP="00E54474">
      <w:pPr>
        <w:ind w:left="-851"/>
        <w:rPr>
          <w:sz w:val="21"/>
          <w:szCs w:val="21"/>
        </w:rPr>
      </w:pPr>
      <w:r>
        <w:rPr>
          <w:b/>
          <w:sz w:val="21"/>
          <w:szCs w:val="21"/>
        </w:rPr>
        <w:t>Π20.8</w:t>
      </w:r>
      <w:r>
        <w:rPr>
          <w:sz w:val="21"/>
          <w:szCs w:val="21"/>
        </w:rPr>
        <w:t xml:space="preserve"> Στα πλαίσια της παρακολούθησης των ειδών αυτών στο κόστος κτήσης, τα φυτά μπορούν να παρακολουθούνται διακεκριμένα ανά «οικογένεια» ή βασικές υποκατηγορίες κατά την κρίση της επιχείρησης και την πρακτική του κλάδου, αφού η αναλυτική παρακολούθηση αυτών με διάκριση σε διαφορετικές ηλικίες και μέγεθος (που δυναμικά μεταβάλλονται) δεν είναι πρακτικά εφικτή λόγω των τεχνικών δυσχερειών που προαναφέρθηκαν αλλά και του σημαντικού κόστους. </w:t>
      </w:r>
    </w:p>
    <w:p w:rsidR="00E54474" w:rsidRDefault="00E54474" w:rsidP="00E54474">
      <w:pPr>
        <w:ind w:left="-851"/>
        <w:rPr>
          <w:sz w:val="21"/>
          <w:szCs w:val="21"/>
        </w:rPr>
      </w:pPr>
      <w:r>
        <w:rPr>
          <w:b/>
          <w:sz w:val="21"/>
          <w:szCs w:val="21"/>
        </w:rPr>
        <w:t>Π20.9</w:t>
      </w:r>
      <w:r>
        <w:rPr>
          <w:sz w:val="21"/>
          <w:szCs w:val="21"/>
        </w:rPr>
        <w:t xml:space="preserve"> Η οντότητα εφαρμόζει κατάλληλες έμμεσες τεχνικές και δικλίδες αποτελεσματικής παρακολούθησης των αποθεμάτων φυτών σε καλλιέργεια, λαμβάνοντας υπόψη τις ιδιαίτερες συνθήκες καλλιέργειας σύμφωνα με τις βέλτιστες πρακτικές. Σε κάθε περίπτωση, η οντότητα εφαρμόζει τις σχετικές διατάξεις του άρθρου 5 του νόμου 4308/2014, και ιδιαίτερα τις παραγράφους 8 και 9 αυτού του άρθρου. Επιπλέον διενεργεί φυσική απογραφή και προσδιορίζει τον αριθμό των μονάδων (φυτά) στο τέλος κάθε περιόδου, είτε με πραγματική καταμέτρηση είτε με την χρήση αξιόπιστων έμμεσων τεχνικών και σε συνάρτηση με τα ποσοστά θνησιμότητας. Η φυσική απογραφή διενεργείται τουλάχιστον ανά οικογένεια ή υποκατηγορία, χωρίς να απαιτείται, λόγω των προβλημάτων που έχουν αναφερθεί, λεπτομερής προσδιορισμός άλλων παραμέτρων όπως ο ακριβής γενετικός τύπος, το μέγεθος ή αισθητικά χαρακτηριστικά που προσδιορίζουν την τιμή του φυτού.</w:t>
      </w:r>
    </w:p>
    <w:p w:rsidR="00E54474" w:rsidRDefault="00E54474" w:rsidP="00E54474">
      <w:pPr>
        <w:ind w:left="-851"/>
        <w:rPr>
          <w:sz w:val="21"/>
          <w:szCs w:val="21"/>
        </w:rPr>
      </w:pPr>
      <w:r>
        <w:rPr>
          <w:b/>
          <w:sz w:val="21"/>
          <w:szCs w:val="21"/>
        </w:rPr>
        <w:t>Π20.10</w:t>
      </w:r>
      <w:r>
        <w:rPr>
          <w:sz w:val="21"/>
          <w:szCs w:val="21"/>
        </w:rPr>
        <w:t xml:space="preserve"> Το κόστος κτήσης των φυτών ανά οικογένεια κατά τα ανωτέρω (ιστορικό κόστος κτήσης), περιλαμβάνει το κόστος αγοράς (κόστος βολβών, μοσχευμάτων ή έτοιμων νέων φυτών) και το κόστος καλλιέργειας-ανάπτυξης (εργατικά, λιπάσματα, φυτοφάρμακα, άρδευση και λοιπές γενικές δαπάνες). Μπορεί επίσης να επιβαρύνεται με τόκους εντόκων υποχρεώσεων μέχρι την πώληση των φυτών, όταν η περίοδος καλλιέργειας-ανάπτυξης είναι σημαντική.</w:t>
      </w:r>
    </w:p>
    <w:p w:rsidR="00E54474" w:rsidRDefault="00E54474" w:rsidP="00E54474">
      <w:pPr>
        <w:ind w:left="-851"/>
        <w:rPr>
          <w:sz w:val="21"/>
          <w:szCs w:val="21"/>
        </w:rPr>
      </w:pPr>
      <w:r>
        <w:rPr>
          <w:b/>
          <w:sz w:val="21"/>
          <w:szCs w:val="21"/>
        </w:rPr>
        <w:t>Π20.11</w:t>
      </w:r>
      <w:r>
        <w:rPr>
          <w:sz w:val="21"/>
          <w:szCs w:val="21"/>
        </w:rPr>
        <w:t xml:space="preserve"> Η επιβάρυνση του κόστους κτήσης με το γενικό κόστος καλλιέργειας-ανάπτυξης, γίνεται με αξιόπιστες μεθόδους. Μια μέθοδος που συχνά χρησιμοποιείται είναι η κατανομή του γενικού κόστους καλλιέργειας στις κατά περίπτωση κατηγορίες, βάσει των μέσων εκτιμώμενων τιμών πώλησης των φυτών των εν λόγω κατηγοριών. Σημειώνεται ότι η μέθοδος αυτή προϋποθέτει ότι τα διάφορα είδη καλλιεργούμενων φυτών παρουσιάζουν σχετική ομοιομορφία σε ότι αφορά την απορρόφηση κόστους, το πλήθος των μονάδων ή την τιμή πώλησης, ώστε η κατανομή τελικά να επιβαρύνει εκείνα τα φυτά που πραγματικά δημιουργούν κόστος. Εάν για παράδειγμα μια κατηγορία απορροφά σημαντικά περισσότερο ή λιγότερο κόστος, τα ποσά πωλήσεων της κατηγορίας που λαμβάνονται για την κατανομή προσαρμόζονται με κατάλληλους συντελεστές επιβάρυνσης ή ελάφρυνσης, ώστε το υπολογιζόμενο κόστος να είναι αξιόπιστο.</w:t>
      </w:r>
    </w:p>
    <w:p w:rsidR="00E54474" w:rsidRDefault="00E54474" w:rsidP="00E54474">
      <w:pPr>
        <w:ind w:left="-851"/>
        <w:rPr>
          <w:sz w:val="21"/>
          <w:szCs w:val="21"/>
        </w:rPr>
      </w:pPr>
      <w:r>
        <w:rPr>
          <w:b/>
          <w:sz w:val="21"/>
          <w:szCs w:val="21"/>
        </w:rPr>
        <w:t>Π20.12</w:t>
      </w:r>
      <w:r>
        <w:rPr>
          <w:sz w:val="21"/>
          <w:szCs w:val="21"/>
        </w:rPr>
        <w:t xml:space="preserve"> Ανάλογα θέματα με τη φυτική παραγωγή, μπορεί να παρουσιάζονται και στη ζωική παραγωγή. Προφανώς, και στη ζωική παραγωγή η αντιμετώπιση παρομοίων θεμάτων είναι ανάλογη.</w:t>
      </w:r>
    </w:p>
    <w:p w:rsidR="00E54474" w:rsidRDefault="00E54474" w:rsidP="00E54474">
      <w:pPr>
        <w:ind w:left="-851"/>
        <w:rPr>
          <w:sz w:val="21"/>
          <w:szCs w:val="21"/>
        </w:rPr>
      </w:pPr>
      <w:r>
        <w:rPr>
          <w:b/>
          <w:sz w:val="21"/>
          <w:szCs w:val="21"/>
        </w:rPr>
        <w:t>Π20.13</w:t>
      </w:r>
      <w:r>
        <w:rPr>
          <w:sz w:val="21"/>
          <w:szCs w:val="21"/>
        </w:rPr>
        <w:t xml:space="preserve"> Λόγω των ανωτέρω δυσκολιών και ιδιαιτεροτήτων των φυτικών βιολογικών στοιχείων, παρέχεται (εναλλακτικά) η δυνατότητα επιμέτρησης των εν λόγω ειδών στην εύλογη αξία τους, σύμφωνα με τα οριζόμενα στις διατάξεις του άρθρου 24 του Ν. 4308/2014, για λόγους διευκόλυνσης και απλοποίησης των λογιστικών θεμάτων που προκύπτουν όταν παρακολουθούνται στο κόστος.</w:t>
      </w:r>
    </w:p>
    <w:p w:rsidR="00E54474" w:rsidRDefault="00E54474" w:rsidP="00E54474">
      <w:pPr>
        <w:ind w:left="-851"/>
        <w:rPr>
          <w:b/>
        </w:rPr>
      </w:pPr>
      <w:r>
        <w:rPr>
          <w:b/>
        </w:rPr>
        <w:t>Παράδειγμα</w:t>
      </w:r>
    </w:p>
    <w:p w:rsidR="00E54474" w:rsidRDefault="00E54474" w:rsidP="00E54474">
      <w:pPr>
        <w:ind w:left="-851"/>
        <w:rPr>
          <w:sz w:val="21"/>
          <w:szCs w:val="21"/>
        </w:rPr>
      </w:pPr>
      <w:r>
        <w:rPr>
          <w:sz w:val="21"/>
          <w:szCs w:val="21"/>
        </w:rPr>
        <w:t xml:space="preserve">    Η επιχείρηση ΑΛΦΑ καλλιεργεί και εμπορεύεται φυτά τεσσάρων οικογενειών, κωνοφόρα, ελαιόδεντρα, αρωματικά και φοινικοειδή. Η ποσοτική διακίνηση των εν λόγω φυτών (αρχικό απόθεμα περιόδου, αγορές, απώλειες, πωλήσεις και τελικό απόθεμα) και οι αξίες του αρχικού αποθέματος και των αγορών παρουσιάζονται στον παρακάτω πίνακα. Στον ίδιο πίνακα παρουσιάζεται η μέση τιμή πώλησης ανά κατηγορία φυτών και η εκτιμώμενη αξία πώλησης των διαθέσιμων για πώληση τεμαχίων (πωληθέντων και σε καλλιέργεια).</w:t>
      </w:r>
    </w:p>
    <w:p w:rsidR="00E54474" w:rsidRDefault="00E54474" w:rsidP="00E54474">
      <w:pPr>
        <w:ind w:left="-851"/>
      </w:pPr>
      <w:r>
        <w:object w:dxaOrig="9675" w:dyaOrig="3135">
          <v:shape id="_x0000_i1027" type="#_x0000_t75" style="width:483.75pt;height:156.75pt" o:ole="">
            <v:imagedata r:id="rId17" o:title=""/>
          </v:shape>
          <o:OLEObject Type="Embed" ProgID="Excel.Sheet.8" ShapeID="_x0000_i1027" DrawAspect="Content" ObjectID="_1546949126" r:id="rId18"/>
        </w:object>
      </w:r>
    </w:p>
    <w:p w:rsidR="00E54474" w:rsidRDefault="00E54474" w:rsidP="00E54474">
      <w:pPr>
        <w:ind w:left="-851"/>
        <w:rPr>
          <w:sz w:val="21"/>
          <w:szCs w:val="21"/>
        </w:rPr>
      </w:pPr>
      <w:r>
        <w:rPr>
          <w:sz w:val="21"/>
          <w:szCs w:val="21"/>
        </w:rPr>
        <w:t xml:space="preserve">    Περαιτέρω, τα ποσά των ειδικών δαπανών καλλιέργειας της περιόδου ανά είδος φυτών παρατίθεται στον παρακάτω πίνακα:</w:t>
      </w:r>
    </w:p>
    <w:p w:rsidR="00E54474" w:rsidRDefault="00E54474" w:rsidP="00E54474">
      <w:pPr>
        <w:ind w:left="-851"/>
      </w:pPr>
      <w:r>
        <w:object w:dxaOrig="3165" w:dyaOrig="2940">
          <v:shape id="_x0000_i1028" type="#_x0000_t75" style="width:158.25pt;height:147pt" o:ole="">
            <v:imagedata r:id="rId19" o:title=""/>
          </v:shape>
          <o:OLEObject Type="Embed" ProgID="Excel.Sheet.8" ShapeID="_x0000_i1028" DrawAspect="Content" ObjectID="_1546949127" r:id="rId20"/>
        </w:object>
      </w:r>
    </w:p>
    <w:p w:rsidR="00E54474" w:rsidRDefault="00E54474" w:rsidP="00E54474">
      <w:pPr>
        <w:ind w:left="-851"/>
        <w:rPr>
          <w:sz w:val="21"/>
          <w:szCs w:val="21"/>
        </w:rPr>
      </w:pPr>
      <w:r>
        <w:rPr>
          <w:sz w:val="21"/>
          <w:szCs w:val="21"/>
        </w:rPr>
        <w:t xml:space="preserve">    Επιπλέον, στη διάρκεια της περιόδου η επιχείρηση είχε σύνολο γενικών (έμμεσων) δαπανών καλλιέργειας ποσού €19.500.</w:t>
      </w:r>
    </w:p>
    <w:p w:rsidR="00E54474" w:rsidRDefault="00E54474" w:rsidP="00E54474">
      <w:pPr>
        <w:ind w:left="-851"/>
        <w:rPr>
          <w:b/>
        </w:rPr>
      </w:pPr>
      <w:r>
        <w:rPr>
          <w:b/>
        </w:rPr>
        <w:t>Ζητείται</w:t>
      </w:r>
    </w:p>
    <w:p w:rsidR="00E54474" w:rsidRDefault="00E54474" w:rsidP="00E54474">
      <w:pPr>
        <w:ind w:left="-851"/>
        <w:rPr>
          <w:sz w:val="21"/>
          <w:szCs w:val="21"/>
        </w:rPr>
      </w:pPr>
      <w:r>
        <w:rPr>
          <w:sz w:val="21"/>
          <w:szCs w:val="21"/>
        </w:rPr>
        <w:t xml:space="preserve">    Με βάση τα παραπάνω και λαμβάνοντας υπόψη ότι η επιχείρηση κατά πάγια τακτική επιρρίπτει τις γενικές (έμμεσες) δαπάνες ανάλογα με την εκτιμώμενη τιμή πώλησης των καλλιεργούμενων φυτών, ζητείται:</w:t>
      </w:r>
    </w:p>
    <w:p w:rsidR="00E54474" w:rsidRDefault="00E54474" w:rsidP="00E54474">
      <w:pPr>
        <w:ind w:left="-851"/>
        <w:rPr>
          <w:sz w:val="21"/>
          <w:szCs w:val="21"/>
        </w:rPr>
      </w:pPr>
      <w:r>
        <w:rPr>
          <w:sz w:val="21"/>
          <w:szCs w:val="21"/>
        </w:rPr>
        <w:t>α) Να προσδιοριστεί το μέσο κόστος κτήσης (καλλιέργειας) των διαθέσιμων για πώληση αποθεμάτων, ανά κατηγορία φυτών για την περίοδο.</w:t>
      </w:r>
    </w:p>
    <w:p w:rsidR="00E54474" w:rsidRDefault="00E54474" w:rsidP="00E54474">
      <w:pPr>
        <w:ind w:left="-851"/>
        <w:rPr>
          <w:sz w:val="21"/>
          <w:szCs w:val="21"/>
        </w:rPr>
      </w:pPr>
      <w:r>
        <w:rPr>
          <w:sz w:val="21"/>
          <w:szCs w:val="21"/>
        </w:rPr>
        <w:t>β) Να προσδιοριστεί το κόστος παραγωγής (καλλιέργειας-ανάπτυξης) των φυτών, πωληθέντων και αποθεμάτων τέλους, ανά κατηγορία φυτών για την περίοδο.</w:t>
      </w:r>
    </w:p>
    <w:p w:rsidR="00E54474" w:rsidRDefault="00E54474" w:rsidP="00E54474">
      <w:pPr>
        <w:ind w:left="-851"/>
        <w:rPr>
          <w:b/>
        </w:rPr>
      </w:pPr>
      <w:r>
        <w:rPr>
          <w:b/>
        </w:rPr>
        <w:t>Λύση-Ανάλυση</w:t>
      </w:r>
    </w:p>
    <w:p w:rsidR="00E54474" w:rsidRDefault="00E54474" w:rsidP="00E54474">
      <w:pPr>
        <w:ind w:left="-851"/>
        <w:rPr>
          <w:sz w:val="21"/>
          <w:szCs w:val="21"/>
        </w:rPr>
      </w:pPr>
      <w:r>
        <w:rPr>
          <w:b/>
          <w:sz w:val="21"/>
          <w:szCs w:val="21"/>
        </w:rPr>
        <w:t>α)</w:t>
      </w:r>
      <w:r>
        <w:rPr>
          <w:sz w:val="21"/>
          <w:szCs w:val="21"/>
        </w:rPr>
        <w:t xml:space="preserve"> Το κόστος των φυτών που νεκρώνονται (απώλειες) επιβαρύνει το κόστος των λοιπών καλλιεργούμενων τεμαχίων.</w:t>
      </w:r>
    </w:p>
    <w:p w:rsidR="00E54474" w:rsidRDefault="00E54474" w:rsidP="00E54474">
      <w:pPr>
        <w:ind w:left="-851"/>
        <w:rPr>
          <w:sz w:val="21"/>
          <w:szCs w:val="21"/>
        </w:rPr>
      </w:pPr>
      <w:r>
        <w:rPr>
          <w:b/>
          <w:sz w:val="21"/>
          <w:szCs w:val="21"/>
        </w:rPr>
        <w:t>β)</w:t>
      </w:r>
      <w:r>
        <w:rPr>
          <w:sz w:val="21"/>
          <w:szCs w:val="21"/>
        </w:rPr>
        <w:t xml:space="preserve"> Το κόστος καλλιέργειας της περιόδου γενικές (έμμεσες) δαπάνες κατανέμεται στο σύνολο των καλλιεργούμενων τεμαχίων, χωρίς να λαμβάνονται υπόψη, λόγω των εγγενών δυσχερειών και του συνεπακόλουθου κόστους, ενδεχόμενες διαφορές ηλικίας κάθε είδους ή ο χρόνος αγοράς παρτίδων.</w:t>
      </w:r>
    </w:p>
    <w:p w:rsidR="00E54474" w:rsidRDefault="00E54474" w:rsidP="00E54474">
      <w:pPr>
        <w:ind w:left="-851"/>
        <w:rPr>
          <w:sz w:val="21"/>
          <w:szCs w:val="21"/>
        </w:rPr>
      </w:pPr>
      <w:r>
        <w:rPr>
          <w:b/>
          <w:sz w:val="21"/>
          <w:szCs w:val="21"/>
        </w:rPr>
        <w:t>γ)</w:t>
      </w:r>
      <w:r>
        <w:rPr>
          <w:sz w:val="21"/>
          <w:szCs w:val="21"/>
        </w:rPr>
        <w:t xml:space="preserve"> Οι γενικές δαπάνες καλλιέργειας (€19.500) έχουν κατανεμηθεί στα είδη με βάση την εκτιμώμενη αξία πώλησης των διαθέσιμων τεμαχίων. Για παράδειγμα, το ποσό των γενικών δαπανών των κωνοφόρων ποσού €800,24 προκύπτει ως αναλογία της αξίας πώλησης των κωνοφόρων (€1.890) προς τη συνολική αξία (€46.055). Δηλαδή: €800,24 = €19.500 * €1.890 / €46.055.</w:t>
      </w:r>
    </w:p>
    <w:p w:rsidR="00E54474" w:rsidRDefault="00E54474" w:rsidP="00E54474">
      <w:pPr>
        <w:ind w:left="-851"/>
        <w:rPr>
          <w:bCs/>
          <w:sz w:val="21"/>
          <w:szCs w:val="21"/>
        </w:rPr>
      </w:pPr>
      <w:r>
        <w:object w:dxaOrig="9705" w:dyaOrig="3270">
          <v:shape id="_x0000_i1029" type="#_x0000_t75" style="width:485.25pt;height:163.5pt" o:ole="">
            <v:imagedata r:id="rId21" o:title=""/>
          </v:shape>
          <o:OLEObject Type="Embed" ProgID="Excel.Sheet.8" ShapeID="_x0000_i1029" DrawAspect="Content" ObjectID="_1546949128" r:id="rId22"/>
        </w:object>
      </w:r>
    </w:p>
    <w:p w:rsidR="00E54474" w:rsidRDefault="00E54474" w:rsidP="00E54474">
      <w:pPr>
        <w:ind w:left="-851"/>
        <w:rPr>
          <w:b/>
          <w:color w:val="C00000"/>
        </w:rPr>
      </w:pPr>
    </w:p>
    <w:p w:rsidR="00E54474" w:rsidRDefault="00E54474" w:rsidP="00E54474">
      <w:pPr>
        <w:ind w:left="-851"/>
        <w:rPr>
          <w:b/>
          <w:color w:val="C00000"/>
        </w:rPr>
      </w:pPr>
      <w:r>
        <w:rPr>
          <w:b/>
          <w:color w:val="C00000"/>
        </w:rPr>
        <w:t>2.2 Παραδείγματα λογιστικοποίησης ειδικών θεμάτων των αποθεμάτων με χρήση των κωδικών του Παραρτήματος Γ των Ε.Λ.Π</w:t>
      </w:r>
    </w:p>
    <w:p w:rsidR="00E54474" w:rsidRDefault="00E54474" w:rsidP="00E54474">
      <w:pPr>
        <w:ind w:left="-851"/>
        <w:rPr>
          <w:bCs/>
        </w:rPr>
      </w:pPr>
      <w:r>
        <w:rPr>
          <w:b/>
          <w:bCs/>
        </w:rPr>
        <w:t>Παράδειγμα 1</w:t>
      </w:r>
      <w:r>
        <w:rPr>
          <w:bCs/>
        </w:rPr>
        <w:t xml:space="preserve"> </w:t>
      </w:r>
    </w:p>
    <w:p w:rsidR="00E54474" w:rsidRDefault="00E54474" w:rsidP="00E54474">
      <w:pPr>
        <w:ind w:left="-851"/>
        <w:rPr>
          <w:bCs/>
          <w:sz w:val="21"/>
          <w:szCs w:val="21"/>
        </w:rPr>
      </w:pPr>
      <w:r>
        <w:rPr>
          <w:bCs/>
          <w:sz w:val="21"/>
          <w:szCs w:val="21"/>
        </w:rPr>
        <w:t>Η οντότητα «Χ» εμπορεύεται μεταξύ των άλλων το είδος Α΄ για το οποίο τηρεί αρχείο αποθεμάτων με κινήσεις κατά ποσότητα και αξία. Την 31.12.20Χ0, ημερομηνία σύνταξης του ισολογισμού, το λογιστικό αρχείο του εμπορεύματος Α΄, δείχνει απόθεμα 20 τεμαχίων προς €50/τεμάχιο το οποίο αποκτήθηκε την 28.11.20Χ0, χωρίς να έχει μεσολαβήσει στο διάστημα από 28.11.20Χ0 έως 31.12.20Χ0 πώληση. Από τη φυσική απογραφή που έγινε την ημερομηνία αυτή, διαπιστώθηκε έλλειμμα 5 τεμαχίων με βάσιμες υποψίες ότι πρόκειται για κλοπή. Η τιμή πώλησης του εμπορεύματος Α΄ την 31.12.20Χ0,  προσδιορίστηκε σε €40/τεμάχιο και το συνολικό κόστος διάθεσης των υπολοίπων 15 τεμαχίων σε €30. Η οντότητα «Χ» παρακολουθεί το κόστος πωληθέντων σε οικείους λογαριασμούς της ομάδας 2 κάνοντας χρήση της δυνητικής ευχέρειας που παρέχεται από το Παράρτημα Γ των Ε.Λ.Π.</w:t>
      </w:r>
    </w:p>
    <w:p w:rsidR="00E54474" w:rsidRDefault="00E54474" w:rsidP="00E54474">
      <w:pPr>
        <w:ind w:left="-851"/>
        <w:rPr>
          <w:b/>
        </w:rPr>
      </w:pPr>
      <w:r>
        <w:rPr>
          <w:b/>
        </w:rPr>
        <w:t xml:space="preserve">Ζητούνται </w:t>
      </w:r>
    </w:p>
    <w:p w:rsidR="00E54474" w:rsidRDefault="00E54474" w:rsidP="00E54474">
      <w:pPr>
        <w:ind w:left="-851"/>
        <w:rPr>
          <w:sz w:val="21"/>
          <w:szCs w:val="21"/>
        </w:rPr>
      </w:pPr>
      <w:r>
        <w:rPr>
          <w:b/>
          <w:sz w:val="21"/>
          <w:szCs w:val="21"/>
        </w:rPr>
        <w:t>α)</w:t>
      </w:r>
      <w:r>
        <w:rPr>
          <w:sz w:val="21"/>
          <w:szCs w:val="21"/>
        </w:rPr>
        <w:t xml:space="preserve"> οι ημερολογιακές εγγραφές της απώλειας-κλοπής των 5 τεμαχίων, </w:t>
      </w:r>
    </w:p>
    <w:p w:rsidR="00E54474" w:rsidRDefault="00E54474" w:rsidP="00E54474">
      <w:pPr>
        <w:ind w:left="-851"/>
        <w:rPr>
          <w:sz w:val="21"/>
          <w:szCs w:val="21"/>
        </w:rPr>
      </w:pPr>
      <w:r>
        <w:rPr>
          <w:b/>
          <w:sz w:val="21"/>
          <w:szCs w:val="21"/>
        </w:rPr>
        <w:t>β)</w:t>
      </w:r>
      <w:r>
        <w:rPr>
          <w:sz w:val="21"/>
          <w:szCs w:val="21"/>
        </w:rPr>
        <w:t xml:space="preserve"> της επιμέτρησης των μενόντων τεμαχίων και,</w:t>
      </w:r>
    </w:p>
    <w:p w:rsidR="00E54474" w:rsidRDefault="00E54474" w:rsidP="00E54474">
      <w:pPr>
        <w:ind w:left="-851"/>
        <w:rPr>
          <w:sz w:val="21"/>
          <w:szCs w:val="21"/>
        </w:rPr>
      </w:pPr>
      <w:r>
        <w:rPr>
          <w:b/>
          <w:sz w:val="21"/>
          <w:szCs w:val="21"/>
        </w:rPr>
        <w:t>γ)</w:t>
      </w:r>
      <w:r>
        <w:rPr>
          <w:sz w:val="21"/>
          <w:szCs w:val="21"/>
        </w:rPr>
        <w:t xml:space="preserve"> του κλεισίματος της λογιστικής της χρήσεως, με την υπόθεση ότι δεν λαμβάνεται ασφαλιστική αποζημίωση για τα απολεσθέντα εμπορεύματα.</w:t>
      </w:r>
    </w:p>
    <w:p w:rsidR="00E54474" w:rsidRDefault="00E54474" w:rsidP="00E54474">
      <w:pPr>
        <w:ind w:left="-851"/>
        <w:rPr>
          <w:sz w:val="21"/>
          <w:szCs w:val="21"/>
        </w:rPr>
      </w:pPr>
      <w:r>
        <w:rPr>
          <w:b/>
          <w:sz w:val="21"/>
          <w:szCs w:val="21"/>
        </w:rPr>
        <w:t>δ)</w:t>
      </w:r>
      <w:r>
        <w:rPr>
          <w:sz w:val="21"/>
          <w:szCs w:val="21"/>
        </w:rPr>
        <w:t xml:space="preserve"> Σε περίπτωση που η οντότητα σύμφωνα με το ασφαλιστήριο συμβόλαιο που έχει συνάψει με την Εθνική Ασφαλιστική Α. Ε. Ε. Γ. Α, έχει τη βεβαιότητα ότι θα λάβει αποζημίωση €300 για τα απολεσθέντα εμπορεύματα, να απεικονισθούν οι αντίστοιχες ημερολογιακές εγγραφές.</w:t>
      </w:r>
    </w:p>
    <w:p w:rsidR="00E54474" w:rsidRDefault="00E54474" w:rsidP="00E54474">
      <w:pPr>
        <w:ind w:left="-851"/>
        <w:rPr>
          <w:sz w:val="21"/>
          <w:szCs w:val="21"/>
        </w:rPr>
      </w:pPr>
      <w:r>
        <w:rPr>
          <w:b/>
          <w:sz w:val="21"/>
          <w:szCs w:val="21"/>
        </w:rPr>
        <w:t>ε)</w:t>
      </w:r>
      <w:r>
        <w:rPr>
          <w:sz w:val="21"/>
          <w:szCs w:val="21"/>
        </w:rPr>
        <w:t xml:space="preserve"> Τέλος, σε περίπτωση που τα πέντε τεμάχια είχαν δωριθεί στο προσωπικό της οντότητας «Χ» ποία πρόσθετη εγγραφή πρέπει να γίνει σε σχέση με αυτή της απώλειας-κλοπής χωρίς λήψη ασφαλιστικής αποζημίωσης;</w:t>
      </w:r>
    </w:p>
    <w:p w:rsidR="00297368" w:rsidRDefault="00297368" w:rsidP="00E54474">
      <w:pPr>
        <w:ind w:left="-851"/>
        <w:rPr>
          <w:b/>
        </w:rPr>
      </w:pPr>
    </w:p>
    <w:p w:rsidR="00297368" w:rsidRDefault="00297368" w:rsidP="00E54474">
      <w:pPr>
        <w:ind w:left="-851"/>
        <w:rPr>
          <w:b/>
        </w:rPr>
      </w:pPr>
    </w:p>
    <w:p w:rsidR="00E54474" w:rsidRDefault="00E54474" w:rsidP="00E54474">
      <w:pPr>
        <w:ind w:left="-851"/>
        <w:rPr>
          <w:b/>
        </w:rPr>
      </w:pPr>
      <w:r>
        <w:rPr>
          <w:b/>
        </w:rPr>
        <w:t>Ανάλυση-Λύση</w:t>
      </w:r>
    </w:p>
    <w:p w:rsidR="00E54474" w:rsidRDefault="00E54474" w:rsidP="00E54474">
      <w:pPr>
        <w:ind w:left="-851"/>
        <w:rPr>
          <w:sz w:val="21"/>
          <w:szCs w:val="21"/>
        </w:rPr>
      </w:pPr>
      <w:r>
        <w:rPr>
          <w:b/>
          <w:sz w:val="21"/>
          <w:szCs w:val="21"/>
        </w:rPr>
        <w:t>α)</w:t>
      </w:r>
      <w:r>
        <w:rPr>
          <w:sz w:val="21"/>
          <w:szCs w:val="21"/>
        </w:rPr>
        <w:t xml:space="preserve"> Η εγγραφή της απώλειας-κλοπής θα εμφανισθεί σε ειδικό αντίθετο λογαριασμό «κόστος απολεσθέντων-κλαπέντων» της ομάδας 2 με την αξία του κόστους που είχε κατά την αρχική αναγνώριση και αντίστοιχη χρέωση σε λογαριασμό «Ασυνήθη έξοδα και ζημίες» της ομάδας 6, ήτοι: 5 τεμάχια χ 50€/ τεμάχιο=€250. </w:t>
      </w:r>
    </w:p>
    <w:p w:rsidR="00E54474" w:rsidRDefault="00E54474" w:rsidP="00E54474">
      <w:pPr>
        <w:ind w:left="-851"/>
        <w:rPr>
          <w:sz w:val="21"/>
          <w:szCs w:val="21"/>
        </w:rPr>
      </w:pPr>
      <w:r>
        <w:rPr>
          <w:b/>
          <w:sz w:val="21"/>
          <w:szCs w:val="21"/>
        </w:rPr>
        <w:t>β)</w:t>
      </w:r>
      <w:r>
        <w:rPr>
          <w:sz w:val="21"/>
          <w:szCs w:val="21"/>
        </w:rPr>
        <w:t xml:space="preserve"> Η επιμέτρηση των μενόντων 15 τεμαχίων θα γίνει στη χαμηλότερη αξία μεταξύ του κόστους κτήσης και της καθαρής ρευστοποιήσιμης αξίας, ώστε να διασφαλισθεί ότι το εμπόρευμα Α΄ θα εμφανισθεί στο ποσό που είναι ανακτήσιμο. Επειδή, η καθαρή ρευστοποιήσιμη αξία €570 (40€/τεμάχιο χ 15τεμάχια μείον €30 έξοδα διάθεσης), είναι μικρότερη από το κόστος κτήσης €750 (50€/τεμάχιο χ 15τεμάχια), η διαφορά (ζημία απομείωσης) €180 (€750-€570) θα επιβαρύνει το κόστος πωληθέντων στην κατάσταση αποτελεσμάτων, και η επιμέτρηση του εμπορεύματος Α΄ θα γίνει τελικά προς €38/τεμάχιο, ήτοι: €38/τεμάχιο χ 15 τεμάχια=€570. Η εγγραφή της απομείωσης θα εμφανισθεί σε ειδικό αντίθετο λογαριασμό «Απομείωση εμπορευμάτων» της ομάδας 2 με την αξία του κόστους απομείωσης και αντίστοιχη χρέωση σε λογαριασμό «Απομείωση αποθεμάτων» της ομάδας 6.</w:t>
      </w:r>
    </w:p>
    <w:p w:rsidR="00E54474" w:rsidRDefault="00E54474" w:rsidP="00E54474">
      <w:pPr>
        <w:ind w:left="-851"/>
        <w:rPr>
          <w:sz w:val="21"/>
          <w:szCs w:val="21"/>
        </w:rPr>
      </w:pPr>
      <w:r>
        <w:rPr>
          <w:b/>
          <w:sz w:val="21"/>
          <w:szCs w:val="21"/>
        </w:rPr>
        <w:t>γ)</w:t>
      </w:r>
      <w:r>
        <w:rPr>
          <w:sz w:val="21"/>
          <w:szCs w:val="21"/>
        </w:rPr>
        <w:t xml:space="preserve"> η εγγραφή κλεισίματος της λογιστικής της χρήσεως θα γίνει με μεταφορά των αποτελεσματικών λογαριασμών στο λογαριασμό 82.01 «Συγκέντρωση αποτελεσματικών λογαριασμών».  </w:t>
      </w:r>
    </w:p>
    <w:p w:rsidR="00E54474" w:rsidRDefault="00E54474" w:rsidP="00E54474">
      <w:pPr>
        <w:ind w:left="-851"/>
        <w:rPr>
          <w:sz w:val="21"/>
          <w:szCs w:val="21"/>
        </w:rPr>
      </w:pPr>
      <w:r>
        <w:rPr>
          <w:b/>
          <w:sz w:val="21"/>
          <w:szCs w:val="21"/>
        </w:rPr>
        <w:t>δ)</w:t>
      </w:r>
      <w:r>
        <w:rPr>
          <w:sz w:val="21"/>
          <w:szCs w:val="21"/>
        </w:rPr>
        <w:t xml:space="preserve"> Στην περίπτωση της ληφθείσης αποζημίωσης των €300 έναντι του κόστους κτήσεως των αποζημιωμένων εμπορευμάτων €250, η διαφορά των €50 θα εγγραφεί στο λογαριασμό «Ασυνήθη έσοδα και κέρδη». Στην πράξη αυτή δεν θα υπολογισθεί ΦΠΑ εκροών, γιατί σύμφωνα με την Εγκ. Υπ. Οικ. ΠΟΛ. 1221/4.8.2000 «δεν ενεργείται διακανονισμός του ΦΠΑ…. ακόμα και στην περίπτωση που η επιχείρηση εισπράττει αποζημίωση προς αναπλήρωση της αξίας των καταστραφέντων, απολεσθέντων ή κλαπέντων αγαθών της».</w:t>
      </w:r>
    </w:p>
    <w:p w:rsidR="00E54474" w:rsidRDefault="00E54474" w:rsidP="00E54474">
      <w:pPr>
        <w:ind w:left="-851"/>
        <w:rPr>
          <w:sz w:val="21"/>
          <w:szCs w:val="21"/>
        </w:rPr>
      </w:pPr>
      <w:r>
        <w:rPr>
          <w:b/>
          <w:sz w:val="21"/>
          <w:szCs w:val="21"/>
        </w:rPr>
        <w:t>ε)</w:t>
      </w:r>
      <w:r>
        <w:rPr>
          <w:sz w:val="21"/>
          <w:szCs w:val="21"/>
        </w:rPr>
        <w:t xml:space="preserve"> Στην περίπτωση της δωρεάς στο προσωπικό θα πρέπει να αποδοθεί και ΦΠΑ εκροών €250 χ 23%=€57,5, γιατί η συγκεκριμένη πράξη θεωρείται αυτοπαράδοση και όχι ιδιόχρηση, σύμφωνα με τις διατάξεις του άρθρου 7 παρ. 2β΄ του Ν. 1642/1986.</w:t>
      </w:r>
    </w:p>
    <w:p w:rsidR="00E54474" w:rsidRDefault="00E54474" w:rsidP="00E54474">
      <w:pPr>
        <w:ind w:left="-851"/>
        <w:rPr>
          <w:b/>
        </w:rPr>
      </w:pPr>
      <w:r>
        <w:rPr>
          <w:b/>
        </w:rPr>
        <w:t xml:space="preserve">Ημερολογιακές εγγραφές </w:t>
      </w:r>
    </w:p>
    <w:p w:rsidR="00E54474" w:rsidRDefault="00E54474" w:rsidP="00E54474">
      <w:pPr>
        <w:ind w:left="-851"/>
        <w:rPr>
          <w:sz w:val="21"/>
          <w:szCs w:val="21"/>
        </w:rPr>
      </w:pPr>
      <w:r>
        <w:rPr>
          <w:sz w:val="21"/>
          <w:szCs w:val="21"/>
        </w:rPr>
        <w:t>……………………………………………………</w:t>
      </w:r>
      <w:r>
        <w:rPr>
          <w:b/>
          <w:sz w:val="21"/>
          <w:szCs w:val="21"/>
        </w:rPr>
        <w:t>31-12-20Χ0 (α)</w:t>
      </w:r>
      <w:r>
        <w:rPr>
          <w:sz w:val="21"/>
          <w:szCs w:val="21"/>
        </w:rPr>
        <w:t>……………………………………………</w:t>
      </w:r>
    </w:p>
    <w:p w:rsidR="00E54474" w:rsidRDefault="00E54474" w:rsidP="00E54474">
      <w:pPr>
        <w:autoSpaceDE w:val="0"/>
        <w:autoSpaceDN w:val="0"/>
        <w:adjustRightInd w:val="0"/>
        <w:spacing w:after="0" w:line="280" w:lineRule="atLeast"/>
        <w:ind w:left="-851"/>
        <w:textAlignment w:val="baseline"/>
        <w:rPr>
          <w:b/>
          <w:sz w:val="21"/>
          <w:szCs w:val="21"/>
        </w:rPr>
      </w:pPr>
      <w:r>
        <w:rPr>
          <w:b/>
          <w:sz w:val="21"/>
          <w:szCs w:val="21"/>
        </w:rPr>
        <w:t>67 Ασυνήθη έξοδα, ζημίες και πρόστιμα</w:t>
      </w:r>
    </w:p>
    <w:p w:rsidR="00E54474" w:rsidRDefault="00E54474" w:rsidP="00E54474">
      <w:pPr>
        <w:tabs>
          <w:tab w:val="left" w:pos="5970"/>
        </w:tabs>
        <w:autoSpaceDE w:val="0"/>
        <w:autoSpaceDN w:val="0"/>
        <w:adjustRightInd w:val="0"/>
        <w:spacing w:after="0" w:line="280" w:lineRule="atLeast"/>
        <w:ind w:left="-851"/>
        <w:textAlignment w:val="baseline"/>
        <w:rPr>
          <w:sz w:val="21"/>
          <w:szCs w:val="21"/>
        </w:rPr>
      </w:pPr>
      <w:r>
        <w:rPr>
          <w:sz w:val="21"/>
          <w:szCs w:val="21"/>
        </w:rPr>
        <w:t>67.03 Άλλα ασυνήθη έξοδα και ζημίες</w:t>
      </w:r>
      <w:r>
        <w:rPr>
          <w:sz w:val="21"/>
          <w:szCs w:val="21"/>
        </w:rPr>
        <w:tab/>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sz w:val="21"/>
          <w:szCs w:val="21"/>
        </w:rPr>
        <w:t>67.03.01 Ζημίες από απώλεια-κλοπή αποθεμάτων                                         250</w:t>
      </w:r>
    </w:p>
    <w:p w:rsidR="00E54474" w:rsidRDefault="00E54474" w:rsidP="00E54474">
      <w:pPr>
        <w:autoSpaceDE w:val="0"/>
        <w:autoSpaceDN w:val="0"/>
        <w:adjustRightInd w:val="0"/>
        <w:spacing w:after="0" w:line="280" w:lineRule="atLeast"/>
        <w:ind w:left="-851"/>
        <w:textAlignment w:val="baseline"/>
        <w:rPr>
          <w:b/>
          <w:sz w:val="21"/>
          <w:szCs w:val="21"/>
        </w:rPr>
      </w:pPr>
      <w:r>
        <w:rPr>
          <w:b/>
          <w:sz w:val="21"/>
          <w:szCs w:val="21"/>
        </w:rPr>
        <w:t xml:space="preserve">    20 Εμπορεύματα</w:t>
      </w:r>
    </w:p>
    <w:p w:rsidR="00E54474" w:rsidRDefault="00E54474" w:rsidP="00E54474">
      <w:pPr>
        <w:autoSpaceDE w:val="0"/>
        <w:autoSpaceDN w:val="0"/>
        <w:adjustRightInd w:val="0"/>
        <w:spacing w:after="0" w:line="280" w:lineRule="atLeast"/>
        <w:ind w:left="-851"/>
        <w:textAlignment w:val="baseline"/>
        <w:rPr>
          <w:sz w:val="21"/>
          <w:szCs w:val="21"/>
        </w:rPr>
      </w:pPr>
      <w:r>
        <w:rPr>
          <w:sz w:val="21"/>
          <w:szCs w:val="21"/>
        </w:rPr>
        <w:t xml:space="preserve">    20.07 Κόστος απολεσθέντων-κλαπέντων εμπορευμάτων                                     </w:t>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sz w:val="21"/>
          <w:szCs w:val="21"/>
        </w:rPr>
        <w:t xml:space="preserve">    20.07.01 Κόστος εμπορεύματος είδος Α΄                                                                                                     250</w:t>
      </w:r>
    </w:p>
    <w:p w:rsidR="00E54474" w:rsidRDefault="00E54474" w:rsidP="00E54474">
      <w:pPr>
        <w:ind w:left="-851"/>
        <w:rPr>
          <w:bCs/>
        </w:rPr>
      </w:pPr>
      <w:r>
        <w:rPr>
          <w:b/>
          <w:sz w:val="21"/>
          <w:szCs w:val="21"/>
        </w:rPr>
        <w:t xml:space="preserve">Κοστολόγηση απολεσθέντων-κλαπέντων εμπορευμάτων είδους Α΄                                                                                  </w:t>
      </w:r>
    </w:p>
    <w:p w:rsidR="00E54474" w:rsidRDefault="00E54474" w:rsidP="00E54474">
      <w:pPr>
        <w:ind w:left="-851"/>
        <w:rPr>
          <w:sz w:val="21"/>
          <w:szCs w:val="21"/>
        </w:rPr>
      </w:pPr>
    </w:p>
    <w:p w:rsidR="00E54474" w:rsidRDefault="00E54474" w:rsidP="00E54474">
      <w:pPr>
        <w:ind w:left="-851"/>
        <w:rPr>
          <w:sz w:val="21"/>
          <w:szCs w:val="21"/>
        </w:rPr>
      </w:pPr>
    </w:p>
    <w:p w:rsidR="00297368" w:rsidRDefault="00297368" w:rsidP="00E54474">
      <w:pPr>
        <w:ind w:left="-851"/>
        <w:rPr>
          <w:sz w:val="21"/>
          <w:szCs w:val="21"/>
        </w:rPr>
      </w:pPr>
    </w:p>
    <w:p w:rsidR="00297368" w:rsidRDefault="00297368" w:rsidP="00E54474">
      <w:pPr>
        <w:ind w:left="-851"/>
        <w:rPr>
          <w:sz w:val="21"/>
          <w:szCs w:val="21"/>
        </w:rPr>
      </w:pPr>
    </w:p>
    <w:p w:rsidR="00E54474" w:rsidRDefault="00E54474" w:rsidP="00E54474">
      <w:pPr>
        <w:ind w:left="-851"/>
        <w:rPr>
          <w:sz w:val="21"/>
          <w:szCs w:val="21"/>
        </w:rPr>
      </w:pPr>
      <w:r>
        <w:rPr>
          <w:sz w:val="21"/>
          <w:szCs w:val="21"/>
        </w:rPr>
        <w:t>……………………………………………………</w:t>
      </w:r>
      <w:r>
        <w:rPr>
          <w:b/>
          <w:sz w:val="21"/>
          <w:szCs w:val="21"/>
        </w:rPr>
        <w:t>31-12-20Χ0 (β)</w:t>
      </w:r>
      <w:r>
        <w:rPr>
          <w:sz w:val="21"/>
          <w:szCs w:val="21"/>
        </w:rPr>
        <w:t>……………………………………………</w:t>
      </w:r>
    </w:p>
    <w:p w:rsidR="00E54474" w:rsidRDefault="00E54474" w:rsidP="00E54474">
      <w:pPr>
        <w:autoSpaceDE w:val="0"/>
        <w:autoSpaceDN w:val="0"/>
        <w:adjustRightInd w:val="0"/>
        <w:spacing w:after="0" w:line="280" w:lineRule="atLeast"/>
        <w:ind w:left="-851"/>
        <w:textAlignment w:val="baseline"/>
        <w:rPr>
          <w:b/>
          <w:sz w:val="21"/>
          <w:szCs w:val="21"/>
        </w:rPr>
      </w:pPr>
      <w:r>
        <w:rPr>
          <w:b/>
          <w:sz w:val="21"/>
          <w:szCs w:val="21"/>
        </w:rPr>
        <w:t>61 Ζημίες επιμέτρησης περιουσιακών στοιχείων</w:t>
      </w:r>
    </w:p>
    <w:p w:rsidR="00E54474" w:rsidRDefault="00E54474" w:rsidP="00E54474">
      <w:pPr>
        <w:tabs>
          <w:tab w:val="left" w:pos="5970"/>
        </w:tabs>
        <w:autoSpaceDE w:val="0"/>
        <w:autoSpaceDN w:val="0"/>
        <w:adjustRightInd w:val="0"/>
        <w:spacing w:after="0" w:line="280" w:lineRule="atLeast"/>
        <w:ind w:left="-851"/>
        <w:textAlignment w:val="baseline"/>
        <w:rPr>
          <w:sz w:val="21"/>
          <w:szCs w:val="21"/>
        </w:rPr>
      </w:pPr>
      <w:r>
        <w:rPr>
          <w:sz w:val="21"/>
          <w:szCs w:val="21"/>
        </w:rPr>
        <w:t>61.04 Απομείωση αποθεμάτων</w:t>
      </w:r>
      <w:r>
        <w:rPr>
          <w:sz w:val="21"/>
          <w:szCs w:val="21"/>
        </w:rPr>
        <w:tab/>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sz w:val="21"/>
          <w:szCs w:val="21"/>
        </w:rPr>
        <w:t>61.04.01 Απομείωση εμπορεύματος είδος Α΄                                             180</w:t>
      </w:r>
    </w:p>
    <w:p w:rsidR="00E54474" w:rsidRDefault="00E54474" w:rsidP="00E54474">
      <w:pPr>
        <w:autoSpaceDE w:val="0"/>
        <w:autoSpaceDN w:val="0"/>
        <w:adjustRightInd w:val="0"/>
        <w:spacing w:after="0" w:line="280" w:lineRule="atLeast"/>
        <w:ind w:left="-851"/>
        <w:textAlignment w:val="baseline"/>
        <w:rPr>
          <w:b/>
          <w:sz w:val="21"/>
          <w:szCs w:val="21"/>
        </w:rPr>
      </w:pPr>
      <w:r>
        <w:rPr>
          <w:b/>
          <w:sz w:val="21"/>
          <w:szCs w:val="21"/>
        </w:rPr>
        <w:t xml:space="preserve">    20 Εμπορεύματα</w:t>
      </w:r>
    </w:p>
    <w:p w:rsidR="00E54474" w:rsidRDefault="00E54474" w:rsidP="00E54474">
      <w:pPr>
        <w:autoSpaceDE w:val="0"/>
        <w:autoSpaceDN w:val="0"/>
        <w:adjustRightInd w:val="0"/>
        <w:spacing w:after="0" w:line="280" w:lineRule="atLeast"/>
        <w:ind w:left="-851"/>
        <w:textAlignment w:val="baseline"/>
        <w:rPr>
          <w:sz w:val="21"/>
          <w:szCs w:val="21"/>
        </w:rPr>
      </w:pPr>
      <w:r>
        <w:rPr>
          <w:sz w:val="21"/>
          <w:szCs w:val="21"/>
        </w:rPr>
        <w:t xml:space="preserve">    20.05 Απομείωση αποθεμάτων                                     </w:t>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sz w:val="21"/>
          <w:szCs w:val="21"/>
        </w:rPr>
        <w:t xml:space="preserve">    20.05.01 Απομείωση εμπορεύματος είδος Α΄                                                                                                    180</w:t>
      </w:r>
    </w:p>
    <w:p w:rsidR="00E54474" w:rsidRDefault="00E54474" w:rsidP="00E54474">
      <w:pPr>
        <w:ind w:left="-851"/>
        <w:rPr>
          <w:bCs/>
        </w:rPr>
      </w:pPr>
      <w:r>
        <w:rPr>
          <w:b/>
          <w:sz w:val="21"/>
          <w:szCs w:val="21"/>
        </w:rPr>
        <w:t xml:space="preserve">Απομείωση εμπορεύματος είδος Α΄                                                                                  </w:t>
      </w:r>
    </w:p>
    <w:p w:rsidR="00E54474" w:rsidRDefault="00E54474" w:rsidP="00E54474">
      <w:pPr>
        <w:ind w:left="-851"/>
        <w:rPr>
          <w:sz w:val="21"/>
          <w:szCs w:val="21"/>
        </w:rPr>
      </w:pPr>
      <w:r>
        <w:rPr>
          <w:sz w:val="21"/>
          <w:szCs w:val="21"/>
        </w:rPr>
        <w:t>……………………………………………………</w:t>
      </w:r>
      <w:r>
        <w:rPr>
          <w:b/>
          <w:sz w:val="21"/>
          <w:szCs w:val="21"/>
        </w:rPr>
        <w:t>31-12-20Χ0 (γ)</w:t>
      </w:r>
      <w:r>
        <w:rPr>
          <w:sz w:val="21"/>
          <w:szCs w:val="21"/>
        </w:rPr>
        <w:t>……………………………………………</w:t>
      </w:r>
    </w:p>
    <w:p w:rsidR="00E54474" w:rsidRDefault="00E54474" w:rsidP="00E54474">
      <w:pPr>
        <w:autoSpaceDE w:val="0"/>
        <w:autoSpaceDN w:val="0"/>
        <w:adjustRightInd w:val="0"/>
        <w:spacing w:after="0" w:line="280" w:lineRule="atLeast"/>
        <w:ind w:left="-851"/>
        <w:textAlignment w:val="baseline"/>
        <w:rPr>
          <w:b/>
          <w:sz w:val="21"/>
          <w:szCs w:val="21"/>
        </w:rPr>
      </w:pPr>
      <w:r>
        <w:rPr>
          <w:b/>
          <w:sz w:val="21"/>
          <w:szCs w:val="21"/>
        </w:rPr>
        <w:t>82 Αποτέλεσμα (κέρδη ή ζημίες) περιόδου</w:t>
      </w:r>
    </w:p>
    <w:p w:rsidR="00E54474" w:rsidRDefault="00E54474" w:rsidP="00E54474">
      <w:pPr>
        <w:tabs>
          <w:tab w:val="left" w:pos="5820"/>
        </w:tabs>
        <w:autoSpaceDE w:val="0"/>
        <w:autoSpaceDN w:val="0"/>
        <w:adjustRightInd w:val="0"/>
        <w:spacing w:after="0" w:line="280" w:lineRule="atLeast"/>
        <w:ind w:left="-851"/>
        <w:textAlignment w:val="baseline"/>
        <w:rPr>
          <w:sz w:val="21"/>
          <w:szCs w:val="21"/>
        </w:rPr>
      </w:pPr>
      <w:r>
        <w:rPr>
          <w:sz w:val="21"/>
          <w:szCs w:val="21"/>
        </w:rPr>
        <w:t>82.01Συγκέντρωση αποτελεσματικών λογαριασμών</w:t>
      </w:r>
      <w:r>
        <w:rPr>
          <w:sz w:val="21"/>
          <w:szCs w:val="21"/>
        </w:rPr>
        <w:tab/>
        <w:t>430</w:t>
      </w:r>
    </w:p>
    <w:p w:rsidR="00E54474" w:rsidRDefault="00E54474" w:rsidP="00E54474">
      <w:pPr>
        <w:autoSpaceDE w:val="0"/>
        <w:autoSpaceDN w:val="0"/>
        <w:adjustRightInd w:val="0"/>
        <w:spacing w:after="0" w:line="280" w:lineRule="atLeast"/>
        <w:ind w:left="-851"/>
        <w:textAlignment w:val="baseline"/>
        <w:rPr>
          <w:b/>
          <w:sz w:val="21"/>
          <w:szCs w:val="21"/>
        </w:rPr>
      </w:pPr>
      <w:r>
        <w:rPr>
          <w:b/>
          <w:sz w:val="21"/>
          <w:szCs w:val="21"/>
        </w:rPr>
        <w:t xml:space="preserve">    67 Ασυνήθη έξοδα, ζημίες και πρόστιμα</w:t>
      </w:r>
    </w:p>
    <w:p w:rsidR="00E54474" w:rsidRDefault="00E54474" w:rsidP="00E54474">
      <w:pPr>
        <w:tabs>
          <w:tab w:val="left" w:pos="5970"/>
        </w:tabs>
        <w:autoSpaceDE w:val="0"/>
        <w:autoSpaceDN w:val="0"/>
        <w:adjustRightInd w:val="0"/>
        <w:spacing w:after="0" w:line="280" w:lineRule="atLeast"/>
        <w:ind w:left="-851"/>
        <w:textAlignment w:val="baseline"/>
        <w:rPr>
          <w:sz w:val="21"/>
          <w:szCs w:val="21"/>
        </w:rPr>
      </w:pPr>
      <w:r>
        <w:rPr>
          <w:sz w:val="21"/>
          <w:szCs w:val="21"/>
        </w:rPr>
        <w:t xml:space="preserve">    67.03 Άλλα ασυνήθη έξοδα και ζημίες</w:t>
      </w:r>
      <w:r>
        <w:rPr>
          <w:sz w:val="21"/>
          <w:szCs w:val="21"/>
        </w:rPr>
        <w:tab/>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sz w:val="21"/>
          <w:szCs w:val="21"/>
        </w:rPr>
        <w:t xml:space="preserve">    67.03.01 Ζημίες από απώλεια-κλοπή αποθεμάτων                                                                                             250</w:t>
      </w:r>
    </w:p>
    <w:p w:rsidR="00E54474" w:rsidRDefault="00E54474" w:rsidP="00E54474">
      <w:pPr>
        <w:autoSpaceDE w:val="0"/>
        <w:autoSpaceDN w:val="0"/>
        <w:adjustRightInd w:val="0"/>
        <w:spacing w:after="0" w:line="280" w:lineRule="atLeast"/>
        <w:ind w:left="-851"/>
        <w:textAlignment w:val="baseline"/>
        <w:rPr>
          <w:b/>
          <w:sz w:val="21"/>
          <w:szCs w:val="21"/>
        </w:rPr>
      </w:pPr>
      <w:r>
        <w:rPr>
          <w:b/>
          <w:sz w:val="21"/>
          <w:szCs w:val="21"/>
        </w:rPr>
        <w:t xml:space="preserve">    61 Ζημίες επιμέτρησης περιουσιακών στοιχείων</w:t>
      </w:r>
    </w:p>
    <w:p w:rsidR="00E54474" w:rsidRDefault="00E54474" w:rsidP="00E54474">
      <w:pPr>
        <w:tabs>
          <w:tab w:val="left" w:pos="5970"/>
        </w:tabs>
        <w:autoSpaceDE w:val="0"/>
        <w:autoSpaceDN w:val="0"/>
        <w:adjustRightInd w:val="0"/>
        <w:spacing w:after="0" w:line="280" w:lineRule="atLeast"/>
        <w:ind w:left="-851"/>
        <w:textAlignment w:val="baseline"/>
        <w:rPr>
          <w:sz w:val="21"/>
          <w:szCs w:val="21"/>
        </w:rPr>
      </w:pPr>
      <w:r>
        <w:rPr>
          <w:sz w:val="21"/>
          <w:szCs w:val="21"/>
        </w:rPr>
        <w:t xml:space="preserve">    61.04 Απομείωση αποθεμάτων</w:t>
      </w:r>
      <w:r>
        <w:rPr>
          <w:sz w:val="21"/>
          <w:szCs w:val="21"/>
        </w:rPr>
        <w:tab/>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sz w:val="21"/>
          <w:szCs w:val="21"/>
        </w:rPr>
        <w:t xml:space="preserve">     61.04.01 Απομείωση εμπορεύματος είδος Α΄                                                                                                180</w:t>
      </w:r>
    </w:p>
    <w:p w:rsidR="00E54474" w:rsidRDefault="00E54474" w:rsidP="00E54474">
      <w:pPr>
        <w:autoSpaceDE w:val="0"/>
        <w:autoSpaceDN w:val="0"/>
        <w:adjustRightInd w:val="0"/>
        <w:spacing w:after="0" w:line="280" w:lineRule="atLeast"/>
        <w:ind w:left="-851"/>
        <w:textAlignment w:val="baseline"/>
        <w:rPr>
          <w:b/>
          <w:sz w:val="21"/>
          <w:szCs w:val="21"/>
        </w:rPr>
      </w:pPr>
      <w:r>
        <w:rPr>
          <w:b/>
          <w:sz w:val="21"/>
          <w:szCs w:val="21"/>
        </w:rPr>
        <w:t xml:space="preserve">Μεταφορά εξόδων σε λογαριασμό συγκέντρωσης αποτελεσμάτων                                                                                  </w:t>
      </w:r>
    </w:p>
    <w:p w:rsidR="00E54474" w:rsidRDefault="00E54474" w:rsidP="00E54474">
      <w:pPr>
        <w:autoSpaceDE w:val="0"/>
        <w:autoSpaceDN w:val="0"/>
        <w:adjustRightInd w:val="0"/>
        <w:spacing w:after="0" w:line="280" w:lineRule="atLeast"/>
        <w:ind w:left="-851"/>
        <w:textAlignment w:val="baseline"/>
        <w:rPr>
          <w:b/>
          <w:sz w:val="21"/>
          <w:szCs w:val="21"/>
        </w:rPr>
      </w:pPr>
    </w:p>
    <w:p w:rsidR="00E54474" w:rsidRDefault="00E54474" w:rsidP="00E54474">
      <w:pPr>
        <w:autoSpaceDE w:val="0"/>
        <w:autoSpaceDN w:val="0"/>
        <w:adjustRightInd w:val="0"/>
        <w:spacing w:after="0" w:line="280" w:lineRule="atLeast"/>
        <w:ind w:left="-851"/>
        <w:textAlignment w:val="baseline"/>
        <w:rPr>
          <w:b/>
          <w:sz w:val="21"/>
          <w:szCs w:val="21"/>
        </w:rPr>
      </w:pPr>
      <w:r>
        <w:rPr>
          <w:b/>
          <w:sz w:val="21"/>
          <w:szCs w:val="21"/>
        </w:rPr>
        <w:t>Ακολούθως το υπόλοιπο του λογαριασμού 82.01 μεταφέρεται στη χρέωση του λογαριασμού 82.03 «Καθαρή ζημία περιόδου (μετά από φόρους).</w:t>
      </w:r>
    </w:p>
    <w:p w:rsidR="00E54474" w:rsidRDefault="00E54474" w:rsidP="00E54474">
      <w:pPr>
        <w:ind w:left="-851"/>
        <w:rPr>
          <w:sz w:val="21"/>
          <w:szCs w:val="21"/>
        </w:rPr>
      </w:pPr>
    </w:p>
    <w:p w:rsidR="00E54474" w:rsidRDefault="00E54474" w:rsidP="00E54474">
      <w:pPr>
        <w:ind w:left="-851"/>
        <w:rPr>
          <w:sz w:val="21"/>
          <w:szCs w:val="21"/>
        </w:rPr>
      </w:pPr>
      <w:r>
        <w:rPr>
          <w:sz w:val="21"/>
          <w:szCs w:val="21"/>
        </w:rPr>
        <w:t>……………………………………………………</w:t>
      </w:r>
      <w:r>
        <w:rPr>
          <w:b/>
          <w:sz w:val="21"/>
          <w:szCs w:val="21"/>
        </w:rPr>
        <w:t>31-12-20Χ0 (δ)</w:t>
      </w:r>
      <w:r>
        <w:rPr>
          <w:sz w:val="21"/>
          <w:szCs w:val="21"/>
        </w:rPr>
        <w:t>……………………………………………</w:t>
      </w:r>
    </w:p>
    <w:p w:rsidR="00E54474" w:rsidRDefault="00E54474" w:rsidP="00E54474">
      <w:pPr>
        <w:autoSpaceDE w:val="0"/>
        <w:autoSpaceDN w:val="0"/>
        <w:adjustRightInd w:val="0"/>
        <w:spacing w:after="0" w:line="280" w:lineRule="atLeast"/>
        <w:ind w:left="-851"/>
        <w:textAlignment w:val="baseline"/>
        <w:rPr>
          <w:b/>
          <w:sz w:val="21"/>
          <w:szCs w:val="21"/>
        </w:rPr>
      </w:pPr>
      <w:r>
        <w:rPr>
          <w:b/>
          <w:sz w:val="21"/>
          <w:szCs w:val="21"/>
        </w:rPr>
        <w:t>33 Λοιπές απαιτήσεις</w:t>
      </w:r>
    </w:p>
    <w:p w:rsidR="00E54474" w:rsidRDefault="00E54474" w:rsidP="00E54474">
      <w:pPr>
        <w:autoSpaceDE w:val="0"/>
        <w:autoSpaceDN w:val="0"/>
        <w:adjustRightInd w:val="0"/>
        <w:spacing w:after="0" w:line="280" w:lineRule="atLeast"/>
        <w:ind w:left="-851"/>
        <w:textAlignment w:val="baseline"/>
        <w:rPr>
          <w:sz w:val="21"/>
          <w:szCs w:val="21"/>
        </w:rPr>
      </w:pPr>
      <w:r>
        <w:rPr>
          <w:sz w:val="21"/>
          <w:szCs w:val="21"/>
        </w:rPr>
        <w:t>33.03 Άλλες απαιτήσεις από μη συνδεδεμένες οντότητες</w:t>
      </w:r>
    </w:p>
    <w:p w:rsidR="00E54474" w:rsidRDefault="00E54474" w:rsidP="00E54474">
      <w:pPr>
        <w:tabs>
          <w:tab w:val="left" w:pos="5835"/>
        </w:tabs>
        <w:autoSpaceDE w:val="0"/>
        <w:autoSpaceDN w:val="0"/>
        <w:adjustRightInd w:val="0"/>
        <w:spacing w:after="0" w:line="280" w:lineRule="atLeast"/>
        <w:ind w:left="-851"/>
        <w:textAlignment w:val="baseline"/>
        <w:rPr>
          <w:sz w:val="21"/>
          <w:szCs w:val="21"/>
        </w:rPr>
      </w:pPr>
      <w:r>
        <w:rPr>
          <w:sz w:val="21"/>
          <w:szCs w:val="21"/>
        </w:rPr>
        <w:t xml:space="preserve">33.03.01 Εθνική ασφαλιστική Α. Ε. Ε. Γ. Α.        </w:t>
      </w:r>
      <w:r>
        <w:rPr>
          <w:sz w:val="21"/>
          <w:szCs w:val="21"/>
        </w:rPr>
        <w:tab/>
        <w:t>300</w:t>
      </w:r>
    </w:p>
    <w:p w:rsidR="00E54474" w:rsidRDefault="00E54474" w:rsidP="00E54474">
      <w:pPr>
        <w:autoSpaceDE w:val="0"/>
        <w:autoSpaceDN w:val="0"/>
        <w:adjustRightInd w:val="0"/>
        <w:spacing w:after="0" w:line="280" w:lineRule="atLeast"/>
        <w:ind w:left="-851"/>
        <w:textAlignment w:val="baseline"/>
        <w:rPr>
          <w:b/>
          <w:sz w:val="21"/>
          <w:szCs w:val="21"/>
        </w:rPr>
      </w:pPr>
      <w:r>
        <w:rPr>
          <w:b/>
          <w:sz w:val="21"/>
          <w:szCs w:val="21"/>
        </w:rPr>
        <w:t xml:space="preserve">    79 Ασυνήθη έσοδα και κέρδη</w:t>
      </w:r>
    </w:p>
    <w:p w:rsidR="00E54474" w:rsidRDefault="00E54474" w:rsidP="00E54474">
      <w:pPr>
        <w:tabs>
          <w:tab w:val="left" w:pos="5970"/>
        </w:tabs>
        <w:autoSpaceDE w:val="0"/>
        <w:autoSpaceDN w:val="0"/>
        <w:adjustRightInd w:val="0"/>
        <w:spacing w:after="0" w:line="280" w:lineRule="atLeast"/>
        <w:ind w:left="-851"/>
        <w:textAlignment w:val="baseline"/>
        <w:rPr>
          <w:sz w:val="21"/>
          <w:szCs w:val="21"/>
        </w:rPr>
      </w:pPr>
      <w:r>
        <w:rPr>
          <w:sz w:val="21"/>
          <w:szCs w:val="21"/>
        </w:rPr>
        <w:t xml:space="preserve">    79.01Ασυνήθη έσοδα και κέρδη από μη συνδεδεμένες οντότητες</w:t>
      </w:r>
      <w:r>
        <w:rPr>
          <w:sz w:val="21"/>
          <w:szCs w:val="21"/>
        </w:rPr>
        <w:tab/>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sz w:val="21"/>
          <w:szCs w:val="21"/>
        </w:rPr>
        <w:t xml:space="preserve">    79.01.01 Κέρδη από ασφαλιστική αποζημίωση                                                                                                   50</w:t>
      </w:r>
    </w:p>
    <w:p w:rsidR="00E54474" w:rsidRDefault="00E54474" w:rsidP="00E54474">
      <w:pPr>
        <w:autoSpaceDE w:val="0"/>
        <w:autoSpaceDN w:val="0"/>
        <w:adjustRightInd w:val="0"/>
        <w:spacing w:after="0" w:line="280" w:lineRule="atLeast"/>
        <w:ind w:left="-851"/>
        <w:textAlignment w:val="baseline"/>
        <w:rPr>
          <w:b/>
          <w:sz w:val="21"/>
          <w:szCs w:val="21"/>
        </w:rPr>
      </w:pPr>
      <w:r>
        <w:rPr>
          <w:b/>
          <w:sz w:val="21"/>
          <w:szCs w:val="21"/>
        </w:rPr>
        <w:t xml:space="preserve">    20 Εμπορεύματα</w:t>
      </w:r>
    </w:p>
    <w:p w:rsidR="00E54474" w:rsidRDefault="00E54474" w:rsidP="00E54474">
      <w:pPr>
        <w:autoSpaceDE w:val="0"/>
        <w:autoSpaceDN w:val="0"/>
        <w:adjustRightInd w:val="0"/>
        <w:spacing w:after="0" w:line="280" w:lineRule="atLeast"/>
        <w:ind w:left="-851"/>
        <w:textAlignment w:val="baseline"/>
        <w:rPr>
          <w:sz w:val="21"/>
          <w:szCs w:val="21"/>
        </w:rPr>
      </w:pPr>
      <w:r>
        <w:rPr>
          <w:sz w:val="21"/>
          <w:szCs w:val="21"/>
        </w:rPr>
        <w:t xml:space="preserve">    20.07 Κόστος απολεσθέντων-κλαπέντων εμπορευμάτων                                     </w:t>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sz w:val="21"/>
          <w:szCs w:val="21"/>
        </w:rPr>
        <w:t xml:space="preserve">    20.07.01 Κόστος εμπορεύματος είδος Α΄                                                                                                       250</w:t>
      </w:r>
    </w:p>
    <w:p w:rsidR="00E54474" w:rsidRDefault="00E54474" w:rsidP="00E54474">
      <w:pPr>
        <w:ind w:left="-851"/>
        <w:rPr>
          <w:b/>
          <w:sz w:val="21"/>
          <w:szCs w:val="21"/>
        </w:rPr>
      </w:pPr>
      <w:r>
        <w:rPr>
          <w:b/>
          <w:sz w:val="21"/>
          <w:szCs w:val="21"/>
        </w:rPr>
        <w:t>Λογιστικοποίηση ασφαλιστικής αποζημίωσης για ασφαλισμένα απολεσθέντα-κλαπέντα εμπορεύματα</w:t>
      </w:r>
    </w:p>
    <w:p w:rsidR="00297368" w:rsidRDefault="00297368" w:rsidP="00E54474">
      <w:pPr>
        <w:ind w:left="-851"/>
        <w:rPr>
          <w:sz w:val="21"/>
          <w:szCs w:val="21"/>
        </w:rPr>
      </w:pPr>
    </w:p>
    <w:p w:rsidR="00297368" w:rsidRDefault="00297368" w:rsidP="00E54474">
      <w:pPr>
        <w:ind w:left="-851"/>
        <w:rPr>
          <w:sz w:val="21"/>
          <w:szCs w:val="21"/>
        </w:rPr>
      </w:pPr>
    </w:p>
    <w:p w:rsidR="00297368" w:rsidRDefault="00297368" w:rsidP="00E54474">
      <w:pPr>
        <w:ind w:left="-851"/>
        <w:rPr>
          <w:sz w:val="21"/>
          <w:szCs w:val="21"/>
        </w:rPr>
      </w:pPr>
    </w:p>
    <w:p w:rsidR="00297368" w:rsidRDefault="00297368" w:rsidP="00E54474">
      <w:pPr>
        <w:ind w:left="-851"/>
        <w:rPr>
          <w:sz w:val="21"/>
          <w:szCs w:val="21"/>
        </w:rPr>
      </w:pPr>
    </w:p>
    <w:p w:rsidR="00297368" w:rsidRDefault="00297368" w:rsidP="00E54474">
      <w:pPr>
        <w:ind w:left="-851"/>
        <w:rPr>
          <w:sz w:val="21"/>
          <w:szCs w:val="21"/>
        </w:rPr>
      </w:pPr>
    </w:p>
    <w:p w:rsidR="00297368" w:rsidRDefault="00297368" w:rsidP="00E54474">
      <w:pPr>
        <w:ind w:left="-851"/>
        <w:rPr>
          <w:sz w:val="21"/>
          <w:szCs w:val="21"/>
        </w:rPr>
      </w:pPr>
    </w:p>
    <w:p w:rsidR="00297368" w:rsidRDefault="00297368" w:rsidP="00E54474">
      <w:pPr>
        <w:ind w:left="-851"/>
        <w:rPr>
          <w:sz w:val="21"/>
          <w:szCs w:val="21"/>
        </w:rPr>
      </w:pPr>
    </w:p>
    <w:p w:rsidR="00E54474" w:rsidRDefault="00E54474" w:rsidP="00E54474">
      <w:pPr>
        <w:ind w:left="-851"/>
        <w:rPr>
          <w:sz w:val="21"/>
          <w:szCs w:val="21"/>
        </w:rPr>
      </w:pPr>
      <w:r>
        <w:rPr>
          <w:sz w:val="21"/>
          <w:szCs w:val="21"/>
        </w:rPr>
        <w:t>……………………………………………………</w:t>
      </w:r>
      <w:r>
        <w:rPr>
          <w:b/>
          <w:sz w:val="21"/>
          <w:szCs w:val="21"/>
        </w:rPr>
        <w:t>31-12-20Χ0 (ε)</w:t>
      </w:r>
      <w:r>
        <w:rPr>
          <w:sz w:val="21"/>
          <w:szCs w:val="21"/>
        </w:rPr>
        <w:t>……………………………………………</w:t>
      </w:r>
    </w:p>
    <w:p w:rsidR="00E54474" w:rsidRDefault="00E54474" w:rsidP="00E54474">
      <w:pPr>
        <w:autoSpaceDE w:val="0"/>
        <w:autoSpaceDN w:val="0"/>
        <w:adjustRightInd w:val="0"/>
        <w:spacing w:after="0" w:line="280" w:lineRule="atLeast"/>
        <w:ind w:left="-851"/>
        <w:textAlignment w:val="baseline"/>
        <w:rPr>
          <w:b/>
          <w:sz w:val="21"/>
          <w:szCs w:val="21"/>
        </w:rPr>
      </w:pPr>
      <w:r>
        <w:rPr>
          <w:b/>
          <w:sz w:val="21"/>
          <w:szCs w:val="21"/>
        </w:rPr>
        <w:t>60 Παροχές σε εργαζόμενους</w:t>
      </w:r>
    </w:p>
    <w:p w:rsidR="00E54474" w:rsidRDefault="00E54474" w:rsidP="00E54474">
      <w:pPr>
        <w:tabs>
          <w:tab w:val="left" w:pos="5970"/>
        </w:tabs>
        <w:autoSpaceDE w:val="0"/>
        <w:autoSpaceDN w:val="0"/>
        <w:adjustRightInd w:val="0"/>
        <w:spacing w:after="0" w:line="280" w:lineRule="atLeast"/>
        <w:ind w:left="-851"/>
        <w:textAlignment w:val="baseline"/>
        <w:rPr>
          <w:sz w:val="21"/>
          <w:szCs w:val="21"/>
        </w:rPr>
      </w:pPr>
      <w:r>
        <w:rPr>
          <w:sz w:val="21"/>
          <w:szCs w:val="21"/>
        </w:rPr>
        <w:t>60.03 Λοιπές παροχές</w:t>
      </w:r>
    </w:p>
    <w:p w:rsidR="00E54474" w:rsidRDefault="00E54474" w:rsidP="00E54474">
      <w:pPr>
        <w:tabs>
          <w:tab w:val="left" w:pos="5970"/>
        </w:tabs>
        <w:autoSpaceDE w:val="0"/>
        <w:autoSpaceDN w:val="0"/>
        <w:adjustRightInd w:val="0"/>
        <w:spacing w:after="0" w:line="280" w:lineRule="atLeast"/>
        <w:ind w:left="-851"/>
        <w:textAlignment w:val="baseline"/>
        <w:rPr>
          <w:sz w:val="21"/>
          <w:szCs w:val="21"/>
        </w:rPr>
      </w:pPr>
      <w:r>
        <w:rPr>
          <w:sz w:val="21"/>
          <w:szCs w:val="21"/>
        </w:rPr>
        <w:t>60.03.01Αξία χορηγούμενων αποθεμάτων                                                    250</w:t>
      </w:r>
    </w:p>
    <w:p w:rsidR="00E54474" w:rsidRDefault="00E54474" w:rsidP="00E54474">
      <w:pPr>
        <w:autoSpaceDE w:val="0"/>
        <w:autoSpaceDN w:val="0"/>
        <w:adjustRightInd w:val="0"/>
        <w:spacing w:after="0" w:line="280" w:lineRule="atLeast"/>
        <w:ind w:left="-851"/>
        <w:textAlignment w:val="baseline"/>
        <w:rPr>
          <w:b/>
          <w:sz w:val="21"/>
          <w:szCs w:val="21"/>
        </w:rPr>
      </w:pPr>
      <w:r>
        <w:rPr>
          <w:b/>
          <w:sz w:val="21"/>
          <w:szCs w:val="21"/>
        </w:rPr>
        <w:t>64  Διάφορα λειτουργικά έξοδα</w:t>
      </w:r>
    </w:p>
    <w:p w:rsidR="00E54474" w:rsidRDefault="00E54474" w:rsidP="00E54474">
      <w:pPr>
        <w:autoSpaceDE w:val="0"/>
        <w:autoSpaceDN w:val="0"/>
        <w:adjustRightInd w:val="0"/>
        <w:spacing w:after="0" w:line="280" w:lineRule="atLeast"/>
        <w:ind w:left="-851"/>
        <w:textAlignment w:val="baseline"/>
        <w:rPr>
          <w:sz w:val="21"/>
          <w:szCs w:val="21"/>
        </w:rPr>
      </w:pPr>
      <w:r>
        <w:rPr>
          <w:sz w:val="21"/>
          <w:szCs w:val="21"/>
        </w:rPr>
        <w:t>64.11 Φόροι και τέλη (πλην φόρου εισοδήματος)</w:t>
      </w:r>
    </w:p>
    <w:p w:rsidR="00E54474" w:rsidRDefault="00E54474" w:rsidP="00E54474">
      <w:pPr>
        <w:tabs>
          <w:tab w:val="left" w:pos="6090"/>
        </w:tabs>
        <w:autoSpaceDE w:val="0"/>
        <w:autoSpaceDN w:val="0"/>
        <w:adjustRightInd w:val="0"/>
        <w:spacing w:after="0" w:line="280" w:lineRule="atLeast"/>
        <w:ind w:left="-851"/>
        <w:textAlignment w:val="baseline"/>
        <w:rPr>
          <w:sz w:val="21"/>
          <w:szCs w:val="21"/>
        </w:rPr>
      </w:pPr>
      <w:r>
        <w:rPr>
          <w:sz w:val="21"/>
          <w:szCs w:val="21"/>
        </w:rPr>
        <w:t>64.11.01 ΦΠΑ μη εκπιπτόμενος (€250 χ 23%)                                              57,5</w:t>
      </w:r>
    </w:p>
    <w:p w:rsidR="00E54474" w:rsidRDefault="00E54474" w:rsidP="00E54474">
      <w:pPr>
        <w:autoSpaceDE w:val="0"/>
        <w:autoSpaceDN w:val="0"/>
        <w:adjustRightInd w:val="0"/>
        <w:spacing w:after="0" w:line="280" w:lineRule="atLeast"/>
        <w:ind w:left="-851"/>
        <w:textAlignment w:val="baseline"/>
        <w:rPr>
          <w:b/>
          <w:sz w:val="21"/>
          <w:szCs w:val="21"/>
        </w:rPr>
      </w:pPr>
      <w:r>
        <w:rPr>
          <w:b/>
          <w:sz w:val="21"/>
          <w:szCs w:val="21"/>
        </w:rPr>
        <w:t xml:space="preserve">    20 Εμπορεύματα</w:t>
      </w:r>
    </w:p>
    <w:p w:rsidR="00E54474" w:rsidRDefault="00E54474" w:rsidP="00E54474">
      <w:pPr>
        <w:autoSpaceDE w:val="0"/>
        <w:autoSpaceDN w:val="0"/>
        <w:adjustRightInd w:val="0"/>
        <w:spacing w:after="0" w:line="280" w:lineRule="atLeast"/>
        <w:ind w:left="-851"/>
        <w:textAlignment w:val="baseline"/>
        <w:rPr>
          <w:sz w:val="21"/>
          <w:szCs w:val="21"/>
        </w:rPr>
      </w:pPr>
      <w:r>
        <w:rPr>
          <w:sz w:val="21"/>
          <w:szCs w:val="21"/>
        </w:rPr>
        <w:t xml:space="preserve">    20.08 Αξία χορηγούμενων αποθεμάτων στο προσωπικό                                      </w:t>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sz w:val="21"/>
          <w:szCs w:val="21"/>
        </w:rPr>
        <w:t xml:space="preserve">    20.08.01 Κόστος εμπορεύματος είδος Α΄                                                                                                         250</w:t>
      </w:r>
    </w:p>
    <w:p w:rsidR="00E54474" w:rsidRDefault="00E54474" w:rsidP="00E54474">
      <w:pPr>
        <w:tabs>
          <w:tab w:val="left" w:pos="5460"/>
        </w:tabs>
        <w:autoSpaceDE w:val="0"/>
        <w:autoSpaceDN w:val="0"/>
        <w:adjustRightInd w:val="0"/>
        <w:spacing w:after="0" w:line="280" w:lineRule="atLeast"/>
        <w:ind w:left="-851"/>
        <w:textAlignment w:val="baseline"/>
        <w:rPr>
          <w:b/>
          <w:sz w:val="21"/>
          <w:szCs w:val="21"/>
        </w:rPr>
      </w:pPr>
      <w:r>
        <w:rPr>
          <w:b/>
          <w:sz w:val="21"/>
          <w:szCs w:val="21"/>
        </w:rPr>
        <w:t xml:space="preserve">    54 Υποχρεώσεις από φόρους και τέλη</w:t>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sz w:val="21"/>
          <w:szCs w:val="21"/>
        </w:rPr>
        <w:t xml:space="preserve">    54.02 Φόρος προστιθέμενης αξίας (ΦΠΑ)</w:t>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sz w:val="21"/>
          <w:szCs w:val="21"/>
        </w:rPr>
        <w:t xml:space="preserve">    54.02.01 ΦΠΑ εκροών                                                                                                                                57,5</w:t>
      </w:r>
    </w:p>
    <w:p w:rsidR="00E54474" w:rsidRDefault="00E54474" w:rsidP="00E54474">
      <w:pPr>
        <w:ind w:left="-851"/>
        <w:rPr>
          <w:bCs/>
        </w:rPr>
      </w:pPr>
      <w:r>
        <w:rPr>
          <w:b/>
          <w:sz w:val="21"/>
          <w:szCs w:val="21"/>
        </w:rPr>
        <w:t xml:space="preserve">Δωρεάν χορήγηση εμπορευμάτων στο προσωπικό και διακανονισμός του αναλογούντος ΦΠΑ                                                                    </w:t>
      </w:r>
    </w:p>
    <w:p w:rsidR="00E54474" w:rsidRDefault="00E54474" w:rsidP="00E54474">
      <w:pPr>
        <w:ind w:left="-851"/>
        <w:rPr>
          <w:b/>
        </w:rPr>
      </w:pPr>
      <w:r>
        <w:rPr>
          <w:b/>
          <w:bCs/>
        </w:rPr>
        <w:t>Παράδειγμα 2</w:t>
      </w:r>
      <w:r>
        <w:rPr>
          <w:b/>
        </w:rPr>
        <w:t xml:space="preserve"> </w:t>
      </w:r>
    </w:p>
    <w:p w:rsidR="00E54474" w:rsidRDefault="00E54474" w:rsidP="00E54474">
      <w:pPr>
        <w:ind w:left="-851"/>
        <w:rPr>
          <w:sz w:val="21"/>
          <w:szCs w:val="21"/>
        </w:rPr>
      </w:pPr>
      <w:r>
        <w:rPr>
          <w:sz w:val="21"/>
          <w:szCs w:val="21"/>
        </w:rPr>
        <w:t xml:space="preserve">    Ο  λογιστής της βιομηχανικής οντότητας «Χ», ο οποίος είναι υπεύθυνος για τον προσδιορισμό του κόστους των ετοίμων προϊόντων και τη λογιστικοποίηση των πρώτων και βοηθητικών υλών που χρησιμοποιεί το τμήμα παραγωγής της βιομηχανίας για την παραγωγή του επί παραγγελία έτοιμου προϊόντος «Π» το οποίο απαιτεί «σημαντική περίοδο χρόνου για να καταστεί αυτό έτοιμο για την πώλησή του», παρέλαβε την πιο κάτω  συνοπτική κατάσταση δαπανών, σχετική με το κόστος της τελευταίας παραγγελίας που αφορούσε εισαγωγή της πρώτης ύλης «Υ» από οίκο των ΗΠΑ και το κόστος παραγωγής του ετοίμου προϊόντος από αυτή: </w:t>
      </w:r>
    </w:p>
    <w:p w:rsidR="00297368" w:rsidRDefault="00297368" w:rsidP="00E54474">
      <w:pPr>
        <w:ind w:left="-851"/>
        <w:rPr>
          <w:sz w:val="21"/>
          <w:szCs w:val="21"/>
        </w:rPr>
      </w:pPr>
    </w:p>
    <w:p w:rsidR="00297368" w:rsidRDefault="00297368" w:rsidP="00E54474">
      <w:pPr>
        <w:ind w:left="-851"/>
        <w:rPr>
          <w:sz w:val="21"/>
          <w:szCs w:val="21"/>
        </w:rPr>
      </w:pPr>
    </w:p>
    <w:p w:rsidR="00297368" w:rsidRDefault="00297368" w:rsidP="00E54474">
      <w:pPr>
        <w:ind w:left="-851"/>
        <w:rPr>
          <w:sz w:val="21"/>
          <w:szCs w:val="21"/>
        </w:rPr>
      </w:pPr>
    </w:p>
    <w:p w:rsidR="00297368" w:rsidRDefault="00297368" w:rsidP="00E54474">
      <w:pPr>
        <w:ind w:left="-851"/>
        <w:rPr>
          <w:sz w:val="21"/>
          <w:szCs w:val="21"/>
        </w:rPr>
      </w:pPr>
    </w:p>
    <w:p w:rsidR="00297368" w:rsidRDefault="00297368" w:rsidP="00E54474">
      <w:pPr>
        <w:ind w:left="-851"/>
        <w:rPr>
          <w:sz w:val="21"/>
          <w:szCs w:val="21"/>
        </w:rPr>
      </w:pPr>
    </w:p>
    <w:p w:rsidR="00297368" w:rsidRDefault="00297368" w:rsidP="00E54474">
      <w:pPr>
        <w:ind w:left="-851"/>
        <w:rPr>
          <w:sz w:val="21"/>
          <w:szCs w:val="21"/>
        </w:rPr>
      </w:pPr>
    </w:p>
    <w:p w:rsidR="00297368" w:rsidRDefault="00297368" w:rsidP="00E54474">
      <w:pPr>
        <w:ind w:left="-851"/>
        <w:rPr>
          <w:sz w:val="21"/>
          <w:szCs w:val="21"/>
        </w:rPr>
      </w:pPr>
    </w:p>
    <w:p w:rsidR="00297368" w:rsidRDefault="00297368" w:rsidP="00E54474">
      <w:pPr>
        <w:ind w:left="-851"/>
        <w:rPr>
          <w:sz w:val="21"/>
          <w:szCs w:val="21"/>
        </w:rPr>
      </w:pPr>
    </w:p>
    <w:p w:rsidR="00297368" w:rsidRDefault="00297368" w:rsidP="00E54474">
      <w:pPr>
        <w:ind w:left="-851"/>
        <w:rPr>
          <w:sz w:val="21"/>
          <w:szCs w:val="21"/>
        </w:rPr>
      </w:pPr>
    </w:p>
    <w:p w:rsidR="00297368" w:rsidRDefault="00297368" w:rsidP="00E54474">
      <w:pPr>
        <w:ind w:left="-851"/>
        <w:rPr>
          <w:sz w:val="21"/>
          <w:szCs w:val="21"/>
        </w:rPr>
      </w:pPr>
    </w:p>
    <w:p w:rsidR="00297368" w:rsidRDefault="00297368" w:rsidP="00E54474">
      <w:pPr>
        <w:ind w:left="-851"/>
        <w:rPr>
          <w:sz w:val="21"/>
          <w:szCs w:val="21"/>
        </w:rPr>
      </w:pPr>
    </w:p>
    <w:p w:rsidR="00297368" w:rsidRDefault="00297368" w:rsidP="00E54474">
      <w:pPr>
        <w:ind w:left="-851"/>
        <w:rPr>
          <w:sz w:val="21"/>
          <w:szCs w:val="21"/>
        </w:rPr>
      </w:pPr>
    </w:p>
    <w:p w:rsidR="00297368" w:rsidRDefault="00297368" w:rsidP="00E54474">
      <w:pPr>
        <w:ind w:left="-851"/>
        <w:rPr>
          <w:sz w:val="21"/>
          <w:szCs w:val="21"/>
        </w:rPr>
      </w:pPr>
    </w:p>
    <w:p w:rsidR="00297368" w:rsidRDefault="00297368" w:rsidP="00E54474">
      <w:pPr>
        <w:ind w:left="-851"/>
        <w:rPr>
          <w:sz w:val="21"/>
          <w:szCs w:val="21"/>
        </w:rPr>
      </w:pPr>
    </w:p>
    <w:tbl>
      <w:tblPr>
        <w:tblW w:w="9210" w:type="dxa"/>
        <w:tblInd w:w="-794" w:type="dxa"/>
        <w:tblLayout w:type="fixed"/>
        <w:tblCellMar>
          <w:left w:w="0" w:type="dxa"/>
          <w:right w:w="0" w:type="dxa"/>
        </w:tblCellMar>
        <w:tblLook w:val="04A0" w:firstRow="1" w:lastRow="0" w:firstColumn="1" w:lastColumn="0" w:noHBand="0" w:noVBand="1"/>
      </w:tblPr>
      <w:tblGrid>
        <w:gridCol w:w="7084"/>
        <w:gridCol w:w="993"/>
        <w:gridCol w:w="1133"/>
      </w:tblGrid>
      <w:tr w:rsidR="00E54474" w:rsidTr="00F00CC9">
        <w:trPr>
          <w:trHeight w:val="60"/>
        </w:trPr>
        <w:tc>
          <w:tcPr>
            <w:tcW w:w="7084" w:type="dxa"/>
            <w:tcBorders>
              <w:top w:val="single" w:sz="4" w:space="0" w:color="auto"/>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tLeast"/>
              <w:ind w:left="283" w:hanging="283"/>
              <w:textAlignment w:val="baseline"/>
              <w:rPr>
                <w:b/>
                <w:sz w:val="21"/>
                <w:szCs w:val="21"/>
                <w:lang w:eastAsia="en-US"/>
              </w:rPr>
            </w:pPr>
            <w:r>
              <w:rPr>
                <w:b/>
                <w:sz w:val="21"/>
                <w:szCs w:val="21"/>
                <w:lang w:eastAsia="en-US"/>
              </w:rPr>
              <w:t>Περιγραφή δαπανών που αφορούν την εισαγωγή της Α΄ ύλης «Υ» και το</w:t>
            </w:r>
          </w:p>
          <w:p w:rsidR="00E54474" w:rsidRDefault="00E54474">
            <w:pPr>
              <w:autoSpaceDE w:val="0"/>
              <w:autoSpaceDN w:val="0"/>
              <w:adjustRightInd w:val="0"/>
              <w:spacing w:after="0" w:line="240" w:lineRule="atLeast"/>
              <w:ind w:left="283" w:hanging="283"/>
              <w:textAlignment w:val="baseline"/>
              <w:rPr>
                <w:b/>
                <w:sz w:val="21"/>
                <w:szCs w:val="21"/>
                <w:lang w:eastAsia="en-US"/>
              </w:rPr>
            </w:pPr>
            <w:r>
              <w:rPr>
                <w:b/>
                <w:sz w:val="21"/>
                <w:szCs w:val="21"/>
                <w:lang w:eastAsia="en-US"/>
              </w:rPr>
              <w:t>κόστος παραγωγής του ετοίμου προϊόντος «Π»</w:t>
            </w:r>
          </w:p>
        </w:tc>
        <w:tc>
          <w:tcPr>
            <w:tcW w:w="993" w:type="dxa"/>
            <w:tcBorders>
              <w:top w:val="single" w:sz="4" w:space="0" w:color="auto"/>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tLeast"/>
              <w:jc w:val="center"/>
              <w:textAlignment w:val="baseline"/>
              <w:rPr>
                <w:b/>
                <w:sz w:val="21"/>
                <w:szCs w:val="21"/>
                <w:lang w:val="en-US" w:eastAsia="en-US"/>
              </w:rPr>
            </w:pPr>
            <w:r>
              <w:rPr>
                <w:b/>
                <w:sz w:val="21"/>
                <w:szCs w:val="21"/>
                <w:lang w:val="en-US" w:eastAsia="en-US"/>
              </w:rPr>
              <w:t>US$</w:t>
            </w:r>
          </w:p>
        </w:tc>
        <w:tc>
          <w:tcPr>
            <w:tcW w:w="1133" w:type="dxa"/>
            <w:tcBorders>
              <w:top w:val="single" w:sz="4" w:space="0" w:color="auto"/>
              <w:left w:val="single" w:sz="4" w:space="0" w:color="000000"/>
              <w:bottom w:val="single" w:sz="4" w:space="0" w:color="000000"/>
              <w:right w:val="single" w:sz="4" w:space="0" w:color="000000"/>
            </w:tcBorders>
            <w:hideMark/>
          </w:tcPr>
          <w:p w:rsidR="00E54474" w:rsidRDefault="00E54474">
            <w:pPr>
              <w:autoSpaceDE w:val="0"/>
              <w:autoSpaceDN w:val="0"/>
              <w:adjustRightInd w:val="0"/>
              <w:spacing w:after="0" w:line="240" w:lineRule="atLeast"/>
              <w:jc w:val="center"/>
              <w:textAlignment w:val="baseline"/>
              <w:rPr>
                <w:b/>
                <w:sz w:val="21"/>
                <w:szCs w:val="21"/>
                <w:lang w:val="en-US" w:eastAsia="en-US"/>
              </w:rPr>
            </w:pPr>
            <w:r>
              <w:rPr>
                <w:b/>
                <w:sz w:val="21"/>
                <w:szCs w:val="21"/>
                <w:lang w:val="en-US" w:eastAsia="en-US"/>
              </w:rPr>
              <w:t>EURO</w:t>
            </w:r>
          </w:p>
        </w:tc>
      </w:tr>
      <w:tr w:rsidR="00E54474" w:rsidTr="00F00CC9">
        <w:trPr>
          <w:trHeight w:val="60"/>
        </w:trPr>
        <w:tc>
          <w:tcPr>
            <w:tcW w:w="7084" w:type="dxa"/>
            <w:tcBorders>
              <w:top w:val="single" w:sz="4" w:space="0" w:color="auto"/>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tLeast"/>
              <w:ind w:left="283" w:hanging="283"/>
              <w:textAlignment w:val="baseline"/>
              <w:rPr>
                <w:sz w:val="21"/>
                <w:szCs w:val="21"/>
                <w:lang w:eastAsia="en-US"/>
              </w:rPr>
            </w:pPr>
            <w:r>
              <w:rPr>
                <w:sz w:val="21"/>
                <w:szCs w:val="21"/>
                <w:lang w:eastAsia="en-US"/>
              </w:rPr>
              <w:t>1.</w:t>
            </w:r>
            <w:r>
              <w:rPr>
                <w:sz w:val="21"/>
                <w:szCs w:val="21"/>
                <w:lang w:eastAsia="en-US"/>
              </w:rPr>
              <w:tab/>
              <w:t xml:space="preserve">Τιμολογιακή αξία </w:t>
            </w:r>
          </w:p>
        </w:tc>
        <w:tc>
          <w:tcPr>
            <w:tcW w:w="993" w:type="dxa"/>
            <w:tcBorders>
              <w:top w:val="single" w:sz="4" w:space="0" w:color="auto"/>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tLeast"/>
              <w:jc w:val="right"/>
              <w:textAlignment w:val="baseline"/>
              <w:rPr>
                <w:sz w:val="21"/>
                <w:szCs w:val="21"/>
                <w:lang w:eastAsia="en-US"/>
              </w:rPr>
            </w:pPr>
            <w:r>
              <w:rPr>
                <w:sz w:val="21"/>
                <w:szCs w:val="21"/>
                <w:lang w:eastAsia="en-US"/>
              </w:rPr>
              <w:t>12.000</w:t>
            </w:r>
          </w:p>
        </w:tc>
        <w:tc>
          <w:tcPr>
            <w:tcW w:w="1133" w:type="dxa"/>
            <w:tcBorders>
              <w:top w:val="single" w:sz="4" w:space="0" w:color="auto"/>
              <w:left w:val="single" w:sz="4" w:space="0" w:color="000000"/>
              <w:bottom w:val="single" w:sz="4" w:space="0" w:color="000000"/>
              <w:right w:val="single" w:sz="4" w:space="0" w:color="000000"/>
            </w:tcBorders>
          </w:tcPr>
          <w:p w:rsidR="00E54474" w:rsidRDefault="00E54474">
            <w:pPr>
              <w:autoSpaceDE w:val="0"/>
              <w:autoSpaceDN w:val="0"/>
              <w:adjustRightInd w:val="0"/>
              <w:spacing w:after="0" w:line="240" w:lineRule="atLeast"/>
              <w:jc w:val="right"/>
              <w:textAlignment w:val="baseline"/>
              <w:rPr>
                <w:sz w:val="21"/>
                <w:szCs w:val="21"/>
                <w:lang w:eastAsia="en-US"/>
              </w:rPr>
            </w:pPr>
          </w:p>
        </w:tc>
      </w:tr>
      <w:tr w:rsidR="00E54474" w:rsidTr="00F00CC9">
        <w:trPr>
          <w:trHeight w:val="60"/>
        </w:trPr>
        <w:tc>
          <w:tcPr>
            <w:tcW w:w="7084"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tLeast"/>
              <w:ind w:left="283" w:hanging="283"/>
              <w:textAlignment w:val="baseline"/>
              <w:rPr>
                <w:sz w:val="21"/>
                <w:szCs w:val="21"/>
                <w:lang w:eastAsia="en-US"/>
              </w:rPr>
            </w:pPr>
            <w:r>
              <w:rPr>
                <w:sz w:val="21"/>
                <w:szCs w:val="21"/>
                <w:lang w:eastAsia="en-US"/>
              </w:rPr>
              <w:t>2.</w:t>
            </w:r>
            <w:r>
              <w:rPr>
                <w:sz w:val="21"/>
                <w:szCs w:val="21"/>
                <w:lang w:eastAsia="en-US"/>
              </w:rPr>
              <w:tab/>
              <w:t>Έκπτωση εκτός τιμολογίου προσυμφωνημένη χωρίς όρους</w:t>
            </w:r>
          </w:p>
        </w:tc>
        <w:tc>
          <w:tcPr>
            <w:tcW w:w="993"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tLeast"/>
              <w:jc w:val="right"/>
              <w:textAlignment w:val="baseline"/>
              <w:rPr>
                <w:sz w:val="21"/>
                <w:szCs w:val="21"/>
                <w:lang w:eastAsia="en-US"/>
              </w:rPr>
            </w:pPr>
            <w:r>
              <w:rPr>
                <w:sz w:val="21"/>
                <w:szCs w:val="21"/>
                <w:lang w:eastAsia="en-US"/>
              </w:rPr>
              <w:t>1.200</w:t>
            </w:r>
          </w:p>
        </w:tc>
        <w:tc>
          <w:tcPr>
            <w:tcW w:w="1133" w:type="dxa"/>
            <w:tcBorders>
              <w:top w:val="single" w:sz="4" w:space="0" w:color="000000"/>
              <w:left w:val="single" w:sz="4" w:space="0" w:color="000000"/>
              <w:bottom w:val="single" w:sz="4" w:space="0" w:color="000000"/>
              <w:right w:val="single" w:sz="4" w:space="0" w:color="000000"/>
            </w:tcBorders>
          </w:tcPr>
          <w:p w:rsidR="00E54474" w:rsidRDefault="00E54474">
            <w:pPr>
              <w:autoSpaceDE w:val="0"/>
              <w:autoSpaceDN w:val="0"/>
              <w:adjustRightInd w:val="0"/>
              <w:spacing w:after="0" w:line="240" w:lineRule="atLeast"/>
              <w:jc w:val="right"/>
              <w:textAlignment w:val="baseline"/>
              <w:rPr>
                <w:sz w:val="21"/>
                <w:szCs w:val="21"/>
                <w:lang w:eastAsia="en-US"/>
              </w:rPr>
            </w:pPr>
          </w:p>
        </w:tc>
      </w:tr>
      <w:tr w:rsidR="00E54474" w:rsidTr="00F00CC9">
        <w:trPr>
          <w:trHeight w:val="60"/>
        </w:trPr>
        <w:tc>
          <w:tcPr>
            <w:tcW w:w="7084"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tLeast"/>
              <w:ind w:left="283" w:hanging="283"/>
              <w:textAlignment w:val="baseline"/>
              <w:rPr>
                <w:sz w:val="21"/>
                <w:szCs w:val="21"/>
                <w:lang w:eastAsia="en-US"/>
              </w:rPr>
            </w:pPr>
            <w:r>
              <w:rPr>
                <w:sz w:val="21"/>
                <w:szCs w:val="21"/>
                <w:lang w:eastAsia="en-US"/>
              </w:rPr>
              <w:t>3.</w:t>
            </w:r>
            <w:r>
              <w:rPr>
                <w:sz w:val="21"/>
                <w:szCs w:val="21"/>
                <w:lang w:eastAsia="en-US"/>
              </w:rPr>
              <w:tab/>
              <w:t xml:space="preserve">Αμοιβή και έξοδα τραπέζης για το διακανονισμό </w:t>
            </w:r>
          </w:p>
        </w:tc>
        <w:tc>
          <w:tcPr>
            <w:tcW w:w="993"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tcPr>
          <w:p w:rsidR="00E54474" w:rsidRDefault="00E54474">
            <w:pPr>
              <w:autoSpaceDE w:val="0"/>
              <w:autoSpaceDN w:val="0"/>
              <w:adjustRightInd w:val="0"/>
              <w:spacing w:after="0" w:line="240" w:lineRule="auto"/>
              <w:jc w:val="right"/>
              <w:rPr>
                <w:sz w:val="21"/>
                <w:szCs w:val="21"/>
                <w:lang w:eastAsia="en-US"/>
              </w:rPr>
            </w:pPr>
          </w:p>
        </w:tc>
        <w:tc>
          <w:tcPr>
            <w:tcW w:w="1133" w:type="dxa"/>
            <w:tcBorders>
              <w:top w:val="single" w:sz="4" w:space="0" w:color="000000"/>
              <w:left w:val="single" w:sz="4" w:space="0" w:color="000000"/>
              <w:bottom w:val="single" w:sz="4" w:space="0" w:color="000000"/>
              <w:right w:val="single" w:sz="4" w:space="0" w:color="000000"/>
            </w:tcBorders>
            <w:hideMark/>
          </w:tcPr>
          <w:p w:rsidR="00E54474" w:rsidRDefault="00E54474">
            <w:pPr>
              <w:autoSpaceDE w:val="0"/>
              <w:autoSpaceDN w:val="0"/>
              <w:adjustRightInd w:val="0"/>
              <w:spacing w:after="0" w:line="240" w:lineRule="auto"/>
              <w:jc w:val="right"/>
              <w:rPr>
                <w:sz w:val="21"/>
                <w:szCs w:val="21"/>
                <w:lang w:eastAsia="en-US"/>
              </w:rPr>
            </w:pPr>
            <w:r>
              <w:rPr>
                <w:sz w:val="21"/>
                <w:szCs w:val="21"/>
                <w:lang w:eastAsia="en-US"/>
              </w:rPr>
              <w:t>200</w:t>
            </w:r>
          </w:p>
        </w:tc>
      </w:tr>
      <w:tr w:rsidR="00E54474" w:rsidTr="00F00CC9">
        <w:trPr>
          <w:trHeight w:val="60"/>
        </w:trPr>
        <w:tc>
          <w:tcPr>
            <w:tcW w:w="7084"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tLeast"/>
              <w:ind w:left="283" w:hanging="283"/>
              <w:textAlignment w:val="baseline"/>
              <w:rPr>
                <w:sz w:val="21"/>
                <w:szCs w:val="21"/>
                <w:lang w:eastAsia="en-US"/>
              </w:rPr>
            </w:pPr>
            <w:r>
              <w:rPr>
                <w:sz w:val="21"/>
                <w:szCs w:val="21"/>
                <w:lang w:eastAsia="en-US"/>
              </w:rPr>
              <w:t>4.</w:t>
            </w:r>
            <w:r>
              <w:rPr>
                <w:sz w:val="21"/>
                <w:szCs w:val="21"/>
                <w:lang w:eastAsia="en-US"/>
              </w:rPr>
              <w:tab/>
              <w:t>Μεταφορικά από τις ΗΠΑ έως το τελωνείο προορισμού</w:t>
            </w:r>
          </w:p>
        </w:tc>
        <w:tc>
          <w:tcPr>
            <w:tcW w:w="993"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tLeast"/>
              <w:jc w:val="right"/>
              <w:textAlignment w:val="baseline"/>
              <w:rPr>
                <w:sz w:val="21"/>
                <w:szCs w:val="21"/>
                <w:lang w:eastAsia="en-US"/>
              </w:rPr>
            </w:pPr>
            <w:r>
              <w:rPr>
                <w:sz w:val="21"/>
                <w:szCs w:val="21"/>
                <w:lang w:eastAsia="en-US"/>
              </w:rPr>
              <w:t>600</w:t>
            </w:r>
          </w:p>
        </w:tc>
        <w:tc>
          <w:tcPr>
            <w:tcW w:w="1133" w:type="dxa"/>
            <w:tcBorders>
              <w:top w:val="single" w:sz="4" w:space="0" w:color="000000"/>
              <w:left w:val="single" w:sz="4" w:space="0" w:color="000000"/>
              <w:bottom w:val="single" w:sz="4" w:space="0" w:color="000000"/>
              <w:right w:val="single" w:sz="4" w:space="0" w:color="000000"/>
            </w:tcBorders>
          </w:tcPr>
          <w:p w:rsidR="00E54474" w:rsidRDefault="00E54474">
            <w:pPr>
              <w:autoSpaceDE w:val="0"/>
              <w:autoSpaceDN w:val="0"/>
              <w:adjustRightInd w:val="0"/>
              <w:spacing w:after="0" w:line="240" w:lineRule="atLeast"/>
              <w:jc w:val="right"/>
              <w:textAlignment w:val="baseline"/>
              <w:rPr>
                <w:sz w:val="21"/>
                <w:szCs w:val="21"/>
                <w:lang w:eastAsia="en-US"/>
              </w:rPr>
            </w:pPr>
          </w:p>
        </w:tc>
      </w:tr>
      <w:tr w:rsidR="00E54474" w:rsidTr="00F00CC9">
        <w:trPr>
          <w:trHeight w:val="60"/>
        </w:trPr>
        <w:tc>
          <w:tcPr>
            <w:tcW w:w="7084"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tLeast"/>
              <w:ind w:left="283" w:hanging="283"/>
              <w:textAlignment w:val="baseline"/>
              <w:rPr>
                <w:sz w:val="21"/>
                <w:szCs w:val="21"/>
                <w:lang w:eastAsia="en-US"/>
              </w:rPr>
            </w:pPr>
            <w:r>
              <w:rPr>
                <w:sz w:val="21"/>
                <w:szCs w:val="21"/>
                <w:lang w:eastAsia="en-US"/>
              </w:rPr>
              <w:t>5.</w:t>
            </w:r>
            <w:r>
              <w:rPr>
                <w:sz w:val="21"/>
                <w:szCs w:val="21"/>
                <w:lang w:eastAsia="en-US"/>
              </w:rPr>
              <w:tab/>
              <w:t>Ασφάλιστρα μεταφοράς</w:t>
            </w:r>
          </w:p>
        </w:tc>
        <w:tc>
          <w:tcPr>
            <w:tcW w:w="993"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tLeast"/>
              <w:jc w:val="right"/>
              <w:textAlignment w:val="baseline"/>
              <w:rPr>
                <w:sz w:val="21"/>
                <w:szCs w:val="21"/>
                <w:lang w:eastAsia="en-US"/>
              </w:rPr>
            </w:pPr>
            <w:r>
              <w:rPr>
                <w:sz w:val="21"/>
                <w:szCs w:val="21"/>
                <w:lang w:eastAsia="en-US"/>
              </w:rPr>
              <w:t>300</w:t>
            </w:r>
          </w:p>
        </w:tc>
        <w:tc>
          <w:tcPr>
            <w:tcW w:w="1133" w:type="dxa"/>
            <w:tcBorders>
              <w:top w:val="single" w:sz="4" w:space="0" w:color="000000"/>
              <w:left w:val="single" w:sz="4" w:space="0" w:color="000000"/>
              <w:bottom w:val="single" w:sz="4" w:space="0" w:color="000000"/>
              <w:right w:val="single" w:sz="4" w:space="0" w:color="000000"/>
            </w:tcBorders>
          </w:tcPr>
          <w:p w:rsidR="00E54474" w:rsidRDefault="00E54474">
            <w:pPr>
              <w:autoSpaceDE w:val="0"/>
              <w:autoSpaceDN w:val="0"/>
              <w:adjustRightInd w:val="0"/>
              <w:spacing w:after="0" w:line="240" w:lineRule="atLeast"/>
              <w:jc w:val="right"/>
              <w:textAlignment w:val="baseline"/>
              <w:rPr>
                <w:sz w:val="21"/>
                <w:szCs w:val="21"/>
                <w:lang w:eastAsia="en-US"/>
              </w:rPr>
            </w:pPr>
          </w:p>
        </w:tc>
      </w:tr>
      <w:tr w:rsidR="00E54474" w:rsidTr="00F00CC9">
        <w:trPr>
          <w:trHeight w:val="60"/>
        </w:trPr>
        <w:tc>
          <w:tcPr>
            <w:tcW w:w="7084"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tLeast"/>
              <w:ind w:left="283" w:hanging="283"/>
              <w:textAlignment w:val="baseline"/>
              <w:rPr>
                <w:sz w:val="21"/>
                <w:szCs w:val="21"/>
                <w:lang w:eastAsia="en-US"/>
              </w:rPr>
            </w:pPr>
            <w:r>
              <w:rPr>
                <w:sz w:val="21"/>
                <w:szCs w:val="21"/>
                <w:lang w:eastAsia="en-US"/>
              </w:rPr>
              <w:t>6.</w:t>
            </w:r>
            <w:r>
              <w:rPr>
                <w:sz w:val="21"/>
                <w:szCs w:val="21"/>
                <w:lang w:eastAsia="en-US"/>
              </w:rPr>
              <w:tab/>
              <w:t>Έξοδα συσκευασίας</w:t>
            </w:r>
          </w:p>
        </w:tc>
        <w:tc>
          <w:tcPr>
            <w:tcW w:w="993"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tLeast"/>
              <w:jc w:val="right"/>
              <w:textAlignment w:val="baseline"/>
              <w:rPr>
                <w:sz w:val="21"/>
                <w:szCs w:val="21"/>
                <w:lang w:eastAsia="en-US"/>
              </w:rPr>
            </w:pPr>
            <w:r>
              <w:rPr>
                <w:sz w:val="21"/>
                <w:szCs w:val="21"/>
                <w:lang w:eastAsia="en-US"/>
              </w:rPr>
              <w:t>180</w:t>
            </w:r>
          </w:p>
        </w:tc>
        <w:tc>
          <w:tcPr>
            <w:tcW w:w="1133" w:type="dxa"/>
            <w:tcBorders>
              <w:top w:val="single" w:sz="4" w:space="0" w:color="000000"/>
              <w:left w:val="single" w:sz="4" w:space="0" w:color="000000"/>
              <w:bottom w:val="single" w:sz="4" w:space="0" w:color="000000"/>
              <w:right w:val="single" w:sz="4" w:space="0" w:color="000000"/>
            </w:tcBorders>
          </w:tcPr>
          <w:p w:rsidR="00E54474" w:rsidRDefault="00E54474">
            <w:pPr>
              <w:autoSpaceDE w:val="0"/>
              <w:autoSpaceDN w:val="0"/>
              <w:adjustRightInd w:val="0"/>
              <w:spacing w:after="0" w:line="240" w:lineRule="atLeast"/>
              <w:jc w:val="right"/>
              <w:textAlignment w:val="baseline"/>
              <w:rPr>
                <w:sz w:val="21"/>
                <w:szCs w:val="21"/>
                <w:lang w:eastAsia="en-US"/>
              </w:rPr>
            </w:pPr>
          </w:p>
        </w:tc>
      </w:tr>
      <w:tr w:rsidR="00E54474" w:rsidTr="00F00CC9">
        <w:trPr>
          <w:trHeight w:val="60"/>
        </w:trPr>
        <w:tc>
          <w:tcPr>
            <w:tcW w:w="7084"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tLeast"/>
              <w:ind w:left="283" w:hanging="283"/>
              <w:textAlignment w:val="baseline"/>
              <w:rPr>
                <w:sz w:val="21"/>
                <w:szCs w:val="21"/>
                <w:lang w:eastAsia="en-US"/>
              </w:rPr>
            </w:pPr>
            <w:r>
              <w:rPr>
                <w:sz w:val="21"/>
                <w:szCs w:val="21"/>
                <w:lang w:eastAsia="en-US"/>
              </w:rPr>
              <w:t>7.</w:t>
            </w:r>
            <w:r>
              <w:rPr>
                <w:sz w:val="21"/>
                <w:szCs w:val="21"/>
                <w:lang w:eastAsia="en-US"/>
              </w:rPr>
              <w:tab/>
              <w:t xml:space="preserve">Αποθήκευτρα τελωνειακού χώρου ΟΛΠ </w:t>
            </w:r>
          </w:p>
        </w:tc>
        <w:tc>
          <w:tcPr>
            <w:tcW w:w="993"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tcPr>
          <w:p w:rsidR="00E54474" w:rsidRDefault="00E54474">
            <w:pPr>
              <w:autoSpaceDE w:val="0"/>
              <w:autoSpaceDN w:val="0"/>
              <w:adjustRightInd w:val="0"/>
              <w:spacing w:after="0" w:line="240" w:lineRule="atLeast"/>
              <w:jc w:val="right"/>
              <w:textAlignment w:val="baseline"/>
              <w:rPr>
                <w:sz w:val="21"/>
                <w:szCs w:val="21"/>
                <w:lang w:eastAsia="en-US"/>
              </w:rPr>
            </w:pPr>
          </w:p>
        </w:tc>
        <w:tc>
          <w:tcPr>
            <w:tcW w:w="1133" w:type="dxa"/>
            <w:tcBorders>
              <w:top w:val="single" w:sz="4" w:space="0" w:color="000000"/>
              <w:left w:val="single" w:sz="4" w:space="0" w:color="000000"/>
              <w:bottom w:val="single" w:sz="4" w:space="0" w:color="000000"/>
              <w:right w:val="single" w:sz="4" w:space="0" w:color="000000"/>
            </w:tcBorders>
            <w:hideMark/>
          </w:tcPr>
          <w:p w:rsidR="00E54474" w:rsidRDefault="00E54474">
            <w:pPr>
              <w:autoSpaceDE w:val="0"/>
              <w:autoSpaceDN w:val="0"/>
              <w:adjustRightInd w:val="0"/>
              <w:spacing w:after="0" w:line="240" w:lineRule="atLeast"/>
              <w:jc w:val="right"/>
              <w:textAlignment w:val="baseline"/>
              <w:rPr>
                <w:sz w:val="21"/>
                <w:szCs w:val="21"/>
                <w:lang w:eastAsia="en-US"/>
              </w:rPr>
            </w:pPr>
            <w:r>
              <w:rPr>
                <w:sz w:val="21"/>
                <w:szCs w:val="21"/>
                <w:lang w:eastAsia="en-US"/>
              </w:rPr>
              <w:t>65</w:t>
            </w:r>
          </w:p>
        </w:tc>
      </w:tr>
      <w:tr w:rsidR="00E54474" w:rsidTr="00F00CC9">
        <w:trPr>
          <w:trHeight w:val="60"/>
        </w:trPr>
        <w:tc>
          <w:tcPr>
            <w:tcW w:w="7084"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tLeast"/>
              <w:ind w:left="283" w:hanging="283"/>
              <w:textAlignment w:val="baseline"/>
              <w:rPr>
                <w:sz w:val="21"/>
                <w:szCs w:val="21"/>
                <w:lang w:eastAsia="en-US"/>
              </w:rPr>
            </w:pPr>
            <w:r>
              <w:rPr>
                <w:sz w:val="21"/>
                <w:szCs w:val="21"/>
                <w:lang w:eastAsia="en-US"/>
              </w:rPr>
              <w:t>8.</w:t>
            </w:r>
            <w:r>
              <w:rPr>
                <w:sz w:val="21"/>
                <w:szCs w:val="21"/>
                <w:lang w:eastAsia="en-US"/>
              </w:rPr>
              <w:tab/>
              <w:t>Προμήθεια διαμεσολαβητή</w:t>
            </w:r>
          </w:p>
        </w:tc>
        <w:tc>
          <w:tcPr>
            <w:tcW w:w="993"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tcPr>
          <w:p w:rsidR="00E54474" w:rsidRDefault="00E54474">
            <w:pPr>
              <w:autoSpaceDE w:val="0"/>
              <w:autoSpaceDN w:val="0"/>
              <w:adjustRightInd w:val="0"/>
              <w:spacing w:after="0" w:line="240" w:lineRule="atLeast"/>
              <w:jc w:val="right"/>
              <w:textAlignment w:val="baseline"/>
              <w:rPr>
                <w:sz w:val="21"/>
                <w:szCs w:val="21"/>
                <w:lang w:eastAsia="en-US"/>
              </w:rPr>
            </w:pPr>
          </w:p>
        </w:tc>
        <w:tc>
          <w:tcPr>
            <w:tcW w:w="1133" w:type="dxa"/>
            <w:tcBorders>
              <w:top w:val="single" w:sz="4" w:space="0" w:color="000000"/>
              <w:left w:val="single" w:sz="4" w:space="0" w:color="000000"/>
              <w:bottom w:val="single" w:sz="4" w:space="0" w:color="000000"/>
              <w:right w:val="single" w:sz="4" w:space="0" w:color="000000"/>
            </w:tcBorders>
            <w:hideMark/>
          </w:tcPr>
          <w:p w:rsidR="00E54474" w:rsidRDefault="00E54474">
            <w:pPr>
              <w:autoSpaceDE w:val="0"/>
              <w:autoSpaceDN w:val="0"/>
              <w:adjustRightInd w:val="0"/>
              <w:spacing w:after="0" w:line="240" w:lineRule="atLeast"/>
              <w:jc w:val="right"/>
              <w:textAlignment w:val="baseline"/>
              <w:rPr>
                <w:sz w:val="21"/>
                <w:szCs w:val="21"/>
                <w:lang w:eastAsia="en-US"/>
              </w:rPr>
            </w:pPr>
            <w:r>
              <w:rPr>
                <w:sz w:val="21"/>
                <w:szCs w:val="21"/>
                <w:lang w:eastAsia="en-US"/>
              </w:rPr>
              <w:t>100</w:t>
            </w:r>
          </w:p>
        </w:tc>
      </w:tr>
      <w:tr w:rsidR="00E54474" w:rsidTr="00F00CC9">
        <w:trPr>
          <w:trHeight w:val="60"/>
        </w:trPr>
        <w:tc>
          <w:tcPr>
            <w:tcW w:w="7084"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tLeast"/>
              <w:ind w:left="283" w:hanging="283"/>
              <w:textAlignment w:val="baseline"/>
              <w:rPr>
                <w:sz w:val="21"/>
                <w:szCs w:val="21"/>
                <w:lang w:eastAsia="en-US"/>
              </w:rPr>
            </w:pPr>
            <w:r>
              <w:rPr>
                <w:sz w:val="21"/>
                <w:szCs w:val="21"/>
                <w:lang w:eastAsia="en-US"/>
              </w:rPr>
              <w:t>9.</w:t>
            </w:r>
            <w:r>
              <w:rPr>
                <w:sz w:val="21"/>
                <w:szCs w:val="21"/>
                <w:lang w:eastAsia="en-US"/>
              </w:rPr>
              <w:tab/>
              <w:t>Αμοιβή εκτελωνιστή</w:t>
            </w:r>
          </w:p>
        </w:tc>
        <w:tc>
          <w:tcPr>
            <w:tcW w:w="993"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tcPr>
          <w:p w:rsidR="00E54474" w:rsidRDefault="00E54474">
            <w:pPr>
              <w:autoSpaceDE w:val="0"/>
              <w:autoSpaceDN w:val="0"/>
              <w:adjustRightInd w:val="0"/>
              <w:spacing w:after="0" w:line="240" w:lineRule="atLeast"/>
              <w:jc w:val="right"/>
              <w:textAlignment w:val="baseline"/>
              <w:rPr>
                <w:sz w:val="21"/>
                <w:szCs w:val="21"/>
                <w:lang w:eastAsia="en-US"/>
              </w:rPr>
            </w:pPr>
          </w:p>
        </w:tc>
        <w:tc>
          <w:tcPr>
            <w:tcW w:w="1133" w:type="dxa"/>
            <w:tcBorders>
              <w:top w:val="single" w:sz="4" w:space="0" w:color="000000"/>
              <w:left w:val="single" w:sz="4" w:space="0" w:color="000000"/>
              <w:bottom w:val="single" w:sz="4" w:space="0" w:color="000000"/>
              <w:right w:val="single" w:sz="4" w:space="0" w:color="000000"/>
            </w:tcBorders>
            <w:hideMark/>
          </w:tcPr>
          <w:p w:rsidR="00E54474" w:rsidRDefault="00E54474">
            <w:pPr>
              <w:autoSpaceDE w:val="0"/>
              <w:autoSpaceDN w:val="0"/>
              <w:adjustRightInd w:val="0"/>
              <w:spacing w:after="0" w:line="240" w:lineRule="atLeast"/>
              <w:jc w:val="right"/>
              <w:textAlignment w:val="baseline"/>
              <w:rPr>
                <w:sz w:val="21"/>
                <w:szCs w:val="21"/>
                <w:lang w:eastAsia="en-US"/>
              </w:rPr>
            </w:pPr>
            <w:r>
              <w:rPr>
                <w:sz w:val="21"/>
                <w:szCs w:val="21"/>
                <w:lang w:eastAsia="en-US"/>
              </w:rPr>
              <w:t>150</w:t>
            </w:r>
          </w:p>
        </w:tc>
      </w:tr>
      <w:tr w:rsidR="00E54474" w:rsidTr="00F00CC9">
        <w:trPr>
          <w:trHeight w:val="60"/>
        </w:trPr>
        <w:tc>
          <w:tcPr>
            <w:tcW w:w="7084"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tLeast"/>
              <w:ind w:left="283" w:hanging="283"/>
              <w:textAlignment w:val="baseline"/>
              <w:rPr>
                <w:sz w:val="21"/>
                <w:szCs w:val="21"/>
                <w:lang w:eastAsia="en-US"/>
              </w:rPr>
            </w:pPr>
            <w:r>
              <w:rPr>
                <w:sz w:val="21"/>
                <w:szCs w:val="21"/>
                <w:lang w:eastAsia="en-US"/>
              </w:rPr>
              <w:t>10.</w:t>
            </w:r>
            <w:r>
              <w:rPr>
                <w:sz w:val="21"/>
                <w:szCs w:val="21"/>
                <w:lang w:eastAsia="en-US"/>
              </w:rPr>
              <w:tab/>
              <w:t xml:space="preserve"> Δασμοί εισαγωγής και λοιποί εισαγωγικοί φόροι</w:t>
            </w:r>
          </w:p>
        </w:tc>
        <w:tc>
          <w:tcPr>
            <w:tcW w:w="993"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tcPr>
          <w:p w:rsidR="00E54474" w:rsidRDefault="00E54474">
            <w:pPr>
              <w:autoSpaceDE w:val="0"/>
              <w:autoSpaceDN w:val="0"/>
              <w:adjustRightInd w:val="0"/>
              <w:spacing w:after="0" w:line="240" w:lineRule="atLeast"/>
              <w:jc w:val="right"/>
              <w:textAlignment w:val="baseline"/>
              <w:rPr>
                <w:sz w:val="21"/>
                <w:szCs w:val="21"/>
                <w:lang w:eastAsia="en-US"/>
              </w:rPr>
            </w:pPr>
          </w:p>
        </w:tc>
        <w:tc>
          <w:tcPr>
            <w:tcW w:w="1133" w:type="dxa"/>
            <w:tcBorders>
              <w:top w:val="single" w:sz="4" w:space="0" w:color="000000"/>
              <w:left w:val="single" w:sz="4" w:space="0" w:color="000000"/>
              <w:bottom w:val="single" w:sz="4" w:space="0" w:color="000000"/>
              <w:right w:val="single" w:sz="4" w:space="0" w:color="000000"/>
            </w:tcBorders>
            <w:hideMark/>
          </w:tcPr>
          <w:p w:rsidR="00E54474" w:rsidRDefault="00E54474">
            <w:pPr>
              <w:autoSpaceDE w:val="0"/>
              <w:autoSpaceDN w:val="0"/>
              <w:adjustRightInd w:val="0"/>
              <w:spacing w:after="0" w:line="240" w:lineRule="atLeast"/>
              <w:jc w:val="right"/>
              <w:textAlignment w:val="baseline"/>
              <w:rPr>
                <w:sz w:val="21"/>
                <w:szCs w:val="21"/>
                <w:lang w:eastAsia="en-US"/>
              </w:rPr>
            </w:pPr>
            <w:r>
              <w:rPr>
                <w:sz w:val="21"/>
                <w:szCs w:val="21"/>
                <w:lang w:eastAsia="en-US"/>
              </w:rPr>
              <w:t>645</w:t>
            </w:r>
          </w:p>
        </w:tc>
      </w:tr>
      <w:tr w:rsidR="00E54474" w:rsidTr="00F00CC9">
        <w:trPr>
          <w:trHeight w:val="60"/>
        </w:trPr>
        <w:tc>
          <w:tcPr>
            <w:tcW w:w="7084"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tLeast"/>
              <w:ind w:left="283" w:hanging="283"/>
              <w:textAlignment w:val="baseline"/>
              <w:rPr>
                <w:sz w:val="21"/>
                <w:szCs w:val="21"/>
                <w:lang w:eastAsia="en-US"/>
              </w:rPr>
            </w:pPr>
            <w:r>
              <w:rPr>
                <w:sz w:val="21"/>
                <w:szCs w:val="21"/>
                <w:lang w:eastAsia="en-US"/>
              </w:rPr>
              <w:t>11.</w:t>
            </w:r>
            <w:r>
              <w:rPr>
                <w:sz w:val="21"/>
                <w:szCs w:val="21"/>
                <w:lang w:eastAsia="en-US"/>
              </w:rPr>
              <w:tab/>
              <w:t xml:space="preserve"> ΦΠΑ 23% επί υποκείμενης τεκμαρτής αξίας €11.395 (ως διασάφηση)</w:t>
            </w:r>
          </w:p>
        </w:tc>
        <w:tc>
          <w:tcPr>
            <w:tcW w:w="993"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tcPr>
          <w:p w:rsidR="00E54474" w:rsidRDefault="00E54474">
            <w:pPr>
              <w:autoSpaceDE w:val="0"/>
              <w:autoSpaceDN w:val="0"/>
              <w:adjustRightInd w:val="0"/>
              <w:spacing w:after="0" w:line="240" w:lineRule="atLeast"/>
              <w:jc w:val="right"/>
              <w:textAlignment w:val="baseline"/>
              <w:rPr>
                <w:sz w:val="21"/>
                <w:szCs w:val="21"/>
                <w:lang w:eastAsia="en-US"/>
              </w:rPr>
            </w:pPr>
          </w:p>
        </w:tc>
        <w:tc>
          <w:tcPr>
            <w:tcW w:w="1133" w:type="dxa"/>
            <w:tcBorders>
              <w:top w:val="single" w:sz="4" w:space="0" w:color="000000"/>
              <w:left w:val="single" w:sz="4" w:space="0" w:color="000000"/>
              <w:bottom w:val="single" w:sz="4" w:space="0" w:color="000000"/>
              <w:right w:val="single" w:sz="4" w:space="0" w:color="000000"/>
            </w:tcBorders>
            <w:hideMark/>
          </w:tcPr>
          <w:p w:rsidR="00E54474" w:rsidRDefault="00E54474">
            <w:pPr>
              <w:autoSpaceDE w:val="0"/>
              <w:autoSpaceDN w:val="0"/>
              <w:adjustRightInd w:val="0"/>
              <w:spacing w:after="0" w:line="240" w:lineRule="atLeast"/>
              <w:jc w:val="right"/>
              <w:textAlignment w:val="baseline"/>
              <w:rPr>
                <w:sz w:val="21"/>
                <w:szCs w:val="21"/>
                <w:lang w:eastAsia="en-US"/>
              </w:rPr>
            </w:pPr>
            <w:r>
              <w:rPr>
                <w:sz w:val="21"/>
                <w:szCs w:val="21"/>
                <w:lang w:eastAsia="en-US"/>
              </w:rPr>
              <w:t>2.620</w:t>
            </w:r>
          </w:p>
        </w:tc>
      </w:tr>
      <w:tr w:rsidR="00E54474" w:rsidTr="00F00CC9">
        <w:trPr>
          <w:trHeight w:val="60"/>
        </w:trPr>
        <w:tc>
          <w:tcPr>
            <w:tcW w:w="7084"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tLeast"/>
              <w:ind w:left="283" w:hanging="283"/>
              <w:textAlignment w:val="baseline"/>
              <w:rPr>
                <w:sz w:val="21"/>
                <w:szCs w:val="21"/>
                <w:lang w:eastAsia="en-US"/>
              </w:rPr>
            </w:pPr>
            <w:r>
              <w:rPr>
                <w:sz w:val="21"/>
                <w:szCs w:val="21"/>
                <w:lang w:eastAsia="en-US"/>
              </w:rPr>
              <w:t>12. Μεταφορικά από τον τελωνειακό χώρο μέχρι την είσοδο της βιομηχανίας</w:t>
            </w:r>
          </w:p>
        </w:tc>
        <w:tc>
          <w:tcPr>
            <w:tcW w:w="993"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tcPr>
          <w:p w:rsidR="00E54474" w:rsidRDefault="00E54474">
            <w:pPr>
              <w:autoSpaceDE w:val="0"/>
              <w:autoSpaceDN w:val="0"/>
              <w:adjustRightInd w:val="0"/>
              <w:spacing w:after="0" w:line="240" w:lineRule="atLeast"/>
              <w:jc w:val="right"/>
              <w:textAlignment w:val="baseline"/>
              <w:rPr>
                <w:sz w:val="21"/>
                <w:szCs w:val="21"/>
                <w:lang w:eastAsia="en-US"/>
              </w:rPr>
            </w:pPr>
          </w:p>
        </w:tc>
        <w:tc>
          <w:tcPr>
            <w:tcW w:w="1133" w:type="dxa"/>
            <w:tcBorders>
              <w:top w:val="single" w:sz="4" w:space="0" w:color="000000"/>
              <w:left w:val="single" w:sz="4" w:space="0" w:color="000000"/>
              <w:bottom w:val="single" w:sz="4" w:space="0" w:color="000000"/>
              <w:right w:val="single" w:sz="4" w:space="0" w:color="000000"/>
            </w:tcBorders>
            <w:hideMark/>
          </w:tcPr>
          <w:p w:rsidR="00E54474" w:rsidRDefault="00E54474">
            <w:pPr>
              <w:autoSpaceDE w:val="0"/>
              <w:autoSpaceDN w:val="0"/>
              <w:adjustRightInd w:val="0"/>
              <w:spacing w:after="0" w:line="240" w:lineRule="atLeast"/>
              <w:jc w:val="right"/>
              <w:textAlignment w:val="baseline"/>
              <w:rPr>
                <w:sz w:val="21"/>
                <w:szCs w:val="21"/>
                <w:lang w:eastAsia="en-US"/>
              </w:rPr>
            </w:pPr>
            <w:r>
              <w:rPr>
                <w:sz w:val="21"/>
                <w:szCs w:val="21"/>
                <w:lang w:eastAsia="en-US"/>
              </w:rPr>
              <w:t>120</w:t>
            </w:r>
          </w:p>
        </w:tc>
      </w:tr>
      <w:tr w:rsidR="00E54474" w:rsidTr="00F00CC9">
        <w:trPr>
          <w:trHeight w:val="60"/>
        </w:trPr>
        <w:tc>
          <w:tcPr>
            <w:tcW w:w="7084"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tLeast"/>
              <w:ind w:left="283" w:hanging="283"/>
              <w:textAlignment w:val="baseline"/>
              <w:rPr>
                <w:sz w:val="21"/>
                <w:szCs w:val="21"/>
                <w:lang w:eastAsia="en-US"/>
              </w:rPr>
            </w:pPr>
            <w:r>
              <w:rPr>
                <w:sz w:val="21"/>
                <w:szCs w:val="21"/>
                <w:lang w:eastAsia="en-US"/>
              </w:rPr>
              <w:t xml:space="preserve">13. Πληρωμή εργατών για την εκφόρτωση του </w:t>
            </w:r>
            <w:r>
              <w:rPr>
                <w:sz w:val="21"/>
                <w:szCs w:val="21"/>
                <w:lang w:val="en-US" w:eastAsia="en-US"/>
              </w:rPr>
              <w:t>container</w:t>
            </w:r>
            <w:r w:rsidRPr="00E54474">
              <w:rPr>
                <w:sz w:val="21"/>
                <w:szCs w:val="21"/>
                <w:lang w:eastAsia="en-US"/>
              </w:rPr>
              <w:t xml:space="preserve"> </w:t>
            </w:r>
          </w:p>
        </w:tc>
        <w:tc>
          <w:tcPr>
            <w:tcW w:w="993"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tcPr>
          <w:p w:rsidR="00E54474" w:rsidRDefault="00E54474">
            <w:pPr>
              <w:autoSpaceDE w:val="0"/>
              <w:autoSpaceDN w:val="0"/>
              <w:adjustRightInd w:val="0"/>
              <w:spacing w:after="0" w:line="240" w:lineRule="atLeast"/>
              <w:jc w:val="right"/>
              <w:textAlignment w:val="baseline"/>
              <w:rPr>
                <w:sz w:val="21"/>
                <w:szCs w:val="21"/>
                <w:lang w:eastAsia="en-US"/>
              </w:rPr>
            </w:pPr>
          </w:p>
        </w:tc>
        <w:tc>
          <w:tcPr>
            <w:tcW w:w="1133" w:type="dxa"/>
            <w:tcBorders>
              <w:top w:val="single" w:sz="4" w:space="0" w:color="000000"/>
              <w:left w:val="single" w:sz="4" w:space="0" w:color="000000"/>
              <w:bottom w:val="single" w:sz="4" w:space="0" w:color="000000"/>
              <w:right w:val="single" w:sz="4" w:space="0" w:color="000000"/>
            </w:tcBorders>
            <w:hideMark/>
          </w:tcPr>
          <w:p w:rsidR="00E54474" w:rsidRDefault="00E54474">
            <w:pPr>
              <w:autoSpaceDE w:val="0"/>
              <w:autoSpaceDN w:val="0"/>
              <w:adjustRightInd w:val="0"/>
              <w:spacing w:after="0" w:line="240" w:lineRule="atLeast"/>
              <w:jc w:val="right"/>
              <w:textAlignment w:val="baseline"/>
              <w:rPr>
                <w:sz w:val="21"/>
                <w:szCs w:val="21"/>
                <w:lang w:eastAsia="en-US"/>
              </w:rPr>
            </w:pPr>
            <w:r>
              <w:rPr>
                <w:sz w:val="21"/>
                <w:szCs w:val="21"/>
                <w:lang w:eastAsia="en-US"/>
              </w:rPr>
              <w:t>220</w:t>
            </w:r>
          </w:p>
        </w:tc>
      </w:tr>
      <w:tr w:rsidR="00E54474" w:rsidTr="00F00CC9">
        <w:trPr>
          <w:trHeight w:val="60"/>
        </w:trPr>
        <w:tc>
          <w:tcPr>
            <w:tcW w:w="7084"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hideMark/>
          </w:tcPr>
          <w:p w:rsidR="00186478" w:rsidRDefault="00186478" w:rsidP="00186478">
            <w:pPr>
              <w:autoSpaceDE w:val="0"/>
              <w:autoSpaceDN w:val="0"/>
              <w:adjustRightInd w:val="0"/>
              <w:spacing w:after="0" w:line="240" w:lineRule="atLeast"/>
              <w:textAlignment w:val="baseline"/>
              <w:rPr>
                <w:sz w:val="21"/>
                <w:szCs w:val="21"/>
                <w:lang w:eastAsia="en-US"/>
              </w:rPr>
            </w:pPr>
            <w:r>
              <w:rPr>
                <w:sz w:val="21"/>
                <w:szCs w:val="21"/>
                <w:lang w:eastAsia="en-US"/>
              </w:rPr>
              <w:t xml:space="preserve">14. </w:t>
            </w:r>
            <w:r w:rsidR="00E54474">
              <w:rPr>
                <w:sz w:val="21"/>
                <w:szCs w:val="21"/>
                <w:lang w:eastAsia="en-US"/>
              </w:rPr>
              <w:t xml:space="preserve">Έξοδα </w:t>
            </w:r>
            <w:r>
              <w:rPr>
                <w:sz w:val="21"/>
                <w:szCs w:val="21"/>
                <w:lang w:eastAsia="en-US"/>
              </w:rPr>
              <w:t>επανατοποθέτησης α΄</w:t>
            </w:r>
            <w:r w:rsidR="00E54474">
              <w:rPr>
                <w:sz w:val="21"/>
                <w:szCs w:val="21"/>
                <w:lang w:eastAsia="en-US"/>
              </w:rPr>
              <w:t xml:space="preserve"> </w:t>
            </w:r>
            <w:r>
              <w:rPr>
                <w:sz w:val="21"/>
                <w:szCs w:val="21"/>
                <w:lang w:eastAsia="en-US"/>
              </w:rPr>
              <w:t>υλών στους</w:t>
            </w:r>
            <w:r w:rsidR="00E54474">
              <w:rPr>
                <w:sz w:val="21"/>
                <w:szCs w:val="21"/>
                <w:lang w:eastAsia="en-US"/>
              </w:rPr>
              <w:t xml:space="preserve"> αποθηκευτικούς χώρους</w:t>
            </w:r>
            <w:r>
              <w:rPr>
                <w:sz w:val="21"/>
                <w:szCs w:val="21"/>
                <w:lang w:eastAsia="en-US"/>
              </w:rPr>
              <w:t xml:space="preserve"> </w:t>
            </w:r>
          </w:p>
          <w:p w:rsidR="00E54474" w:rsidRDefault="00186478" w:rsidP="00186478">
            <w:pPr>
              <w:autoSpaceDE w:val="0"/>
              <w:autoSpaceDN w:val="0"/>
              <w:adjustRightInd w:val="0"/>
              <w:spacing w:after="0" w:line="240" w:lineRule="atLeast"/>
              <w:textAlignment w:val="baseline"/>
              <w:rPr>
                <w:sz w:val="21"/>
                <w:szCs w:val="21"/>
                <w:lang w:eastAsia="en-US"/>
              </w:rPr>
            </w:pPr>
            <w:r>
              <w:rPr>
                <w:sz w:val="21"/>
                <w:szCs w:val="21"/>
                <w:lang w:eastAsia="en-US"/>
              </w:rPr>
              <w:t>λόγω αναδιοργανώσεως</w:t>
            </w:r>
          </w:p>
        </w:tc>
        <w:tc>
          <w:tcPr>
            <w:tcW w:w="993"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tcPr>
          <w:p w:rsidR="00E54474" w:rsidRDefault="00E54474">
            <w:pPr>
              <w:autoSpaceDE w:val="0"/>
              <w:autoSpaceDN w:val="0"/>
              <w:adjustRightInd w:val="0"/>
              <w:spacing w:after="0" w:line="240" w:lineRule="atLeast"/>
              <w:jc w:val="right"/>
              <w:textAlignment w:val="baseline"/>
              <w:rPr>
                <w:sz w:val="21"/>
                <w:szCs w:val="21"/>
                <w:lang w:eastAsia="en-US"/>
              </w:rPr>
            </w:pPr>
          </w:p>
        </w:tc>
        <w:tc>
          <w:tcPr>
            <w:tcW w:w="1133" w:type="dxa"/>
            <w:tcBorders>
              <w:top w:val="single" w:sz="4" w:space="0" w:color="000000"/>
              <w:left w:val="single" w:sz="4" w:space="0" w:color="000000"/>
              <w:bottom w:val="single" w:sz="4" w:space="0" w:color="000000"/>
              <w:right w:val="single" w:sz="4" w:space="0" w:color="000000"/>
            </w:tcBorders>
            <w:hideMark/>
          </w:tcPr>
          <w:p w:rsidR="00E54474" w:rsidRDefault="00E54474">
            <w:pPr>
              <w:autoSpaceDE w:val="0"/>
              <w:autoSpaceDN w:val="0"/>
              <w:adjustRightInd w:val="0"/>
              <w:spacing w:after="0" w:line="240" w:lineRule="atLeast"/>
              <w:jc w:val="right"/>
              <w:textAlignment w:val="baseline"/>
              <w:rPr>
                <w:sz w:val="21"/>
                <w:szCs w:val="21"/>
                <w:lang w:eastAsia="en-US"/>
              </w:rPr>
            </w:pPr>
            <w:r>
              <w:rPr>
                <w:sz w:val="21"/>
                <w:szCs w:val="21"/>
                <w:lang w:eastAsia="en-US"/>
              </w:rPr>
              <w:t>80</w:t>
            </w:r>
          </w:p>
        </w:tc>
      </w:tr>
      <w:tr w:rsidR="00E54474" w:rsidTr="00F00CC9">
        <w:trPr>
          <w:trHeight w:val="60"/>
        </w:trPr>
        <w:tc>
          <w:tcPr>
            <w:tcW w:w="7084"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tLeast"/>
              <w:ind w:left="283" w:hanging="283"/>
              <w:textAlignment w:val="baseline"/>
              <w:rPr>
                <w:sz w:val="21"/>
                <w:szCs w:val="21"/>
                <w:lang w:eastAsia="en-US"/>
              </w:rPr>
            </w:pPr>
            <w:r>
              <w:rPr>
                <w:sz w:val="21"/>
                <w:szCs w:val="21"/>
                <w:lang w:eastAsia="en-US"/>
              </w:rPr>
              <w:t>15. Έξοδα ταξιδίου του διευθυντή παραγωγής για το κλείσιμο της παραγγελίας</w:t>
            </w:r>
          </w:p>
        </w:tc>
        <w:tc>
          <w:tcPr>
            <w:tcW w:w="993"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tcPr>
          <w:p w:rsidR="00E54474" w:rsidRDefault="00E54474">
            <w:pPr>
              <w:autoSpaceDE w:val="0"/>
              <w:autoSpaceDN w:val="0"/>
              <w:adjustRightInd w:val="0"/>
              <w:spacing w:after="0" w:line="240" w:lineRule="atLeast"/>
              <w:jc w:val="right"/>
              <w:textAlignment w:val="baseline"/>
              <w:rPr>
                <w:sz w:val="21"/>
                <w:szCs w:val="21"/>
                <w:lang w:eastAsia="en-US"/>
              </w:rPr>
            </w:pPr>
          </w:p>
        </w:tc>
        <w:tc>
          <w:tcPr>
            <w:tcW w:w="1133" w:type="dxa"/>
            <w:tcBorders>
              <w:top w:val="single" w:sz="4" w:space="0" w:color="000000"/>
              <w:left w:val="single" w:sz="4" w:space="0" w:color="000000"/>
              <w:bottom w:val="single" w:sz="4" w:space="0" w:color="000000"/>
              <w:right w:val="single" w:sz="4" w:space="0" w:color="000000"/>
            </w:tcBorders>
            <w:hideMark/>
          </w:tcPr>
          <w:p w:rsidR="00E54474" w:rsidRDefault="00E54474">
            <w:pPr>
              <w:autoSpaceDE w:val="0"/>
              <w:autoSpaceDN w:val="0"/>
              <w:adjustRightInd w:val="0"/>
              <w:spacing w:after="0" w:line="240" w:lineRule="atLeast"/>
              <w:jc w:val="right"/>
              <w:textAlignment w:val="baseline"/>
              <w:rPr>
                <w:sz w:val="21"/>
                <w:szCs w:val="21"/>
                <w:lang w:eastAsia="en-US"/>
              </w:rPr>
            </w:pPr>
            <w:r>
              <w:rPr>
                <w:sz w:val="21"/>
                <w:szCs w:val="21"/>
                <w:lang w:eastAsia="en-US"/>
              </w:rPr>
              <w:t>1.000</w:t>
            </w:r>
          </w:p>
        </w:tc>
      </w:tr>
      <w:tr w:rsidR="00E54474" w:rsidTr="00F00CC9">
        <w:trPr>
          <w:trHeight w:val="60"/>
        </w:trPr>
        <w:tc>
          <w:tcPr>
            <w:tcW w:w="7084"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tLeast"/>
              <w:ind w:left="283" w:hanging="283"/>
              <w:textAlignment w:val="baseline"/>
              <w:rPr>
                <w:sz w:val="21"/>
                <w:szCs w:val="21"/>
                <w:lang w:eastAsia="en-US"/>
              </w:rPr>
            </w:pPr>
            <w:r>
              <w:rPr>
                <w:sz w:val="21"/>
                <w:szCs w:val="21"/>
                <w:lang w:eastAsia="en-US"/>
              </w:rPr>
              <w:t>16. Τιμολόγιο τόκων που καλύπτει την περίοδο πίστωσης που έχει χορηγηθεί</w:t>
            </w:r>
          </w:p>
          <w:p w:rsidR="00E54474" w:rsidRDefault="00E54474">
            <w:pPr>
              <w:autoSpaceDE w:val="0"/>
              <w:autoSpaceDN w:val="0"/>
              <w:adjustRightInd w:val="0"/>
              <w:spacing w:after="0" w:line="240" w:lineRule="atLeast"/>
              <w:ind w:left="283" w:hanging="283"/>
              <w:textAlignment w:val="baseline"/>
              <w:rPr>
                <w:sz w:val="21"/>
                <w:szCs w:val="21"/>
                <w:lang w:eastAsia="en-US"/>
              </w:rPr>
            </w:pPr>
            <w:r>
              <w:rPr>
                <w:sz w:val="21"/>
                <w:szCs w:val="21"/>
                <w:lang w:eastAsia="en-US"/>
              </w:rPr>
              <w:t>από τον οίκο των ΗΠΑ</w:t>
            </w:r>
          </w:p>
        </w:tc>
        <w:tc>
          <w:tcPr>
            <w:tcW w:w="993"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tcPr>
          <w:p w:rsidR="00E54474" w:rsidRDefault="00E54474">
            <w:pPr>
              <w:autoSpaceDE w:val="0"/>
              <w:autoSpaceDN w:val="0"/>
              <w:adjustRightInd w:val="0"/>
              <w:spacing w:after="0" w:line="240" w:lineRule="atLeast"/>
              <w:jc w:val="right"/>
              <w:textAlignment w:val="baseline"/>
              <w:rPr>
                <w:sz w:val="21"/>
                <w:szCs w:val="21"/>
                <w:lang w:eastAsia="en-US"/>
              </w:rPr>
            </w:pPr>
          </w:p>
        </w:tc>
        <w:tc>
          <w:tcPr>
            <w:tcW w:w="1133" w:type="dxa"/>
            <w:tcBorders>
              <w:top w:val="single" w:sz="4" w:space="0" w:color="000000"/>
              <w:left w:val="single" w:sz="4" w:space="0" w:color="000000"/>
              <w:bottom w:val="single" w:sz="4" w:space="0" w:color="000000"/>
              <w:right w:val="single" w:sz="4" w:space="0" w:color="000000"/>
            </w:tcBorders>
            <w:hideMark/>
          </w:tcPr>
          <w:p w:rsidR="00E54474" w:rsidRDefault="00E54474">
            <w:pPr>
              <w:autoSpaceDE w:val="0"/>
              <w:autoSpaceDN w:val="0"/>
              <w:adjustRightInd w:val="0"/>
              <w:spacing w:after="0" w:line="240" w:lineRule="atLeast"/>
              <w:jc w:val="right"/>
              <w:textAlignment w:val="baseline"/>
              <w:rPr>
                <w:sz w:val="21"/>
                <w:szCs w:val="21"/>
                <w:lang w:eastAsia="en-US"/>
              </w:rPr>
            </w:pPr>
            <w:r>
              <w:rPr>
                <w:sz w:val="21"/>
                <w:szCs w:val="21"/>
                <w:lang w:eastAsia="en-US"/>
              </w:rPr>
              <w:t>60</w:t>
            </w:r>
          </w:p>
        </w:tc>
      </w:tr>
      <w:tr w:rsidR="00E54474" w:rsidTr="00F00CC9">
        <w:trPr>
          <w:trHeight w:val="60"/>
        </w:trPr>
        <w:tc>
          <w:tcPr>
            <w:tcW w:w="7084"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tLeast"/>
              <w:ind w:left="283" w:hanging="283"/>
              <w:textAlignment w:val="baseline"/>
              <w:rPr>
                <w:sz w:val="21"/>
                <w:szCs w:val="21"/>
                <w:lang w:eastAsia="en-US"/>
              </w:rPr>
            </w:pPr>
            <w:r>
              <w:rPr>
                <w:sz w:val="21"/>
                <w:szCs w:val="21"/>
                <w:lang w:eastAsia="en-US"/>
              </w:rPr>
              <w:t>17.</w:t>
            </w:r>
            <w:r>
              <w:rPr>
                <w:sz w:val="21"/>
                <w:szCs w:val="21"/>
                <w:lang w:eastAsia="en-US"/>
              </w:rPr>
              <w:tab/>
              <w:t xml:space="preserve"> Έμμεσο κόστος παραγωγής (σταθερό και μεταβλητό) του προϊόντος «Π»</w:t>
            </w:r>
          </w:p>
          <w:p w:rsidR="00E54474" w:rsidRDefault="00E54474">
            <w:pPr>
              <w:autoSpaceDE w:val="0"/>
              <w:autoSpaceDN w:val="0"/>
              <w:adjustRightInd w:val="0"/>
              <w:spacing w:after="0" w:line="240" w:lineRule="atLeast"/>
              <w:ind w:left="283" w:hanging="283"/>
              <w:textAlignment w:val="baseline"/>
              <w:rPr>
                <w:sz w:val="21"/>
                <w:szCs w:val="21"/>
                <w:lang w:eastAsia="en-US"/>
              </w:rPr>
            </w:pPr>
            <w:r>
              <w:rPr>
                <w:sz w:val="21"/>
                <w:szCs w:val="21"/>
                <w:lang w:eastAsia="en-US"/>
              </w:rPr>
              <w:t xml:space="preserve">€300, από το οποίο €40 αφορά </w:t>
            </w:r>
            <w:r>
              <w:rPr>
                <w:bCs/>
                <w:sz w:val="21"/>
                <w:szCs w:val="21"/>
                <w:lang w:eastAsia="en-US"/>
              </w:rPr>
              <w:t xml:space="preserve">κόστος υποαπασχόλησης </w:t>
            </w:r>
          </w:p>
        </w:tc>
        <w:tc>
          <w:tcPr>
            <w:tcW w:w="993"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tcPr>
          <w:p w:rsidR="00E54474" w:rsidRDefault="00E54474">
            <w:pPr>
              <w:autoSpaceDE w:val="0"/>
              <w:autoSpaceDN w:val="0"/>
              <w:adjustRightInd w:val="0"/>
              <w:spacing w:after="0" w:line="240" w:lineRule="atLeast"/>
              <w:jc w:val="right"/>
              <w:textAlignment w:val="baseline"/>
              <w:rPr>
                <w:sz w:val="21"/>
                <w:szCs w:val="21"/>
                <w:lang w:eastAsia="en-US"/>
              </w:rPr>
            </w:pPr>
          </w:p>
        </w:tc>
        <w:tc>
          <w:tcPr>
            <w:tcW w:w="1133" w:type="dxa"/>
            <w:tcBorders>
              <w:top w:val="single" w:sz="4" w:space="0" w:color="000000"/>
              <w:left w:val="single" w:sz="4" w:space="0" w:color="000000"/>
              <w:bottom w:val="single" w:sz="4" w:space="0" w:color="000000"/>
              <w:right w:val="single" w:sz="4" w:space="0" w:color="000000"/>
            </w:tcBorders>
            <w:hideMark/>
          </w:tcPr>
          <w:p w:rsidR="00E54474" w:rsidRDefault="00E54474">
            <w:pPr>
              <w:autoSpaceDE w:val="0"/>
              <w:autoSpaceDN w:val="0"/>
              <w:adjustRightInd w:val="0"/>
              <w:spacing w:after="0" w:line="240" w:lineRule="atLeast"/>
              <w:jc w:val="right"/>
              <w:textAlignment w:val="baseline"/>
              <w:rPr>
                <w:sz w:val="21"/>
                <w:szCs w:val="21"/>
                <w:lang w:eastAsia="en-US"/>
              </w:rPr>
            </w:pPr>
            <w:r>
              <w:rPr>
                <w:sz w:val="21"/>
                <w:szCs w:val="21"/>
                <w:lang w:eastAsia="en-US"/>
              </w:rPr>
              <w:t>300</w:t>
            </w:r>
          </w:p>
        </w:tc>
      </w:tr>
      <w:tr w:rsidR="00E54474" w:rsidTr="00F00CC9">
        <w:trPr>
          <w:trHeight w:val="60"/>
        </w:trPr>
        <w:tc>
          <w:tcPr>
            <w:tcW w:w="7084"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uto"/>
              <w:rPr>
                <w:sz w:val="21"/>
                <w:szCs w:val="21"/>
                <w:lang w:eastAsia="en-US"/>
              </w:rPr>
            </w:pPr>
            <w:r>
              <w:rPr>
                <w:sz w:val="21"/>
                <w:szCs w:val="21"/>
                <w:lang w:eastAsia="en-US"/>
              </w:rPr>
              <w:t xml:space="preserve">18. Αναλογία αμοιβών προσωπικού του τμήματος παραγωγής που κατανέμεται στο προϊόν «Π» </w:t>
            </w:r>
          </w:p>
        </w:tc>
        <w:tc>
          <w:tcPr>
            <w:tcW w:w="993"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tcPr>
          <w:p w:rsidR="00E54474" w:rsidRDefault="00E54474">
            <w:pPr>
              <w:autoSpaceDE w:val="0"/>
              <w:autoSpaceDN w:val="0"/>
              <w:adjustRightInd w:val="0"/>
              <w:spacing w:after="0" w:line="240" w:lineRule="atLeast"/>
              <w:jc w:val="right"/>
              <w:textAlignment w:val="baseline"/>
              <w:rPr>
                <w:sz w:val="21"/>
                <w:szCs w:val="21"/>
                <w:lang w:eastAsia="en-US"/>
              </w:rPr>
            </w:pPr>
          </w:p>
        </w:tc>
        <w:tc>
          <w:tcPr>
            <w:tcW w:w="1133" w:type="dxa"/>
            <w:tcBorders>
              <w:top w:val="single" w:sz="4" w:space="0" w:color="000000"/>
              <w:left w:val="single" w:sz="4" w:space="0" w:color="000000"/>
              <w:bottom w:val="single" w:sz="4" w:space="0" w:color="000000"/>
              <w:right w:val="single" w:sz="4" w:space="0" w:color="000000"/>
            </w:tcBorders>
            <w:hideMark/>
          </w:tcPr>
          <w:p w:rsidR="00E54474" w:rsidRDefault="00E54474">
            <w:pPr>
              <w:autoSpaceDE w:val="0"/>
              <w:autoSpaceDN w:val="0"/>
              <w:adjustRightInd w:val="0"/>
              <w:spacing w:after="0" w:line="240" w:lineRule="atLeast"/>
              <w:jc w:val="right"/>
              <w:textAlignment w:val="baseline"/>
              <w:rPr>
                <w:sz w:val="21"/>
                <w:szCs w:val="21"/>
                <w:lang w:eastAsia="en-US"/>
              </w:rPr>
            </w:pPr>
            <w:r>
              <w:rPr>
                <w:sz w:val="21"/>
                <w:szCs w:val="21"/>
                <w:lang w:eastAsia="en-US"/>
              </w:rPr>
              <w:t>800</w:t>
            </w:r>
          </w:p>
        </w:tc>
      </w:tr>
      <w:tr w:rsidR="00E54474" w:rsidTr="00F00CC9">
        <w:trPr>
          <w:trHeight w:val="60"/>
        </w:trPr>
        <w:tc>
          <w:tcPr>
            <w:tcW w:w="7084"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uto"/>
              <w:rPr>
                <w:sz w:val="21"/>
                <w:szCs w:val="21"/>
                <w:lang w:eastAsia="en-US"/>
              </w:rPr>
            </w:pPr>
            <w:r>
              <w:rPr>
                <w:sz w:val="21"/>
                <w:szCs w:val="21"/>
                <w:lang w:eastAsia="en-US"/>
              </w:rPr>
              <w:t xml:space="preserve">19. Τόκοι γενικού δανεισμού της οντότητας €3.000 εκ των οποίων €170 αφορούν την παραγωγή του ετοίμου προϊόντος </w:t>
            </w:r>
          </w:p>
        </w:tc>
        <w:tc>
          <w:tcPr>
            <w:tcW w:w="993"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tcPr>
          <w:p w:rsidR="00E54474" w:rsidRDefault="00E54474">
            <w:pPr>
              <w:autoSpaceDE w:val="0"/>
              <w:autoSpaceDN w:val="0"/>
              <w:adjustRightInd w:val="0"/>
              <w:spacing w:after="0" w:line="240" w:lineRule="atLeast"/>
              <w:jc w:val="right"/>
              <w:textAlignment w:val="baseline"/>
              <w:rPr>
                <w:sz w:val="21"/>
                <w:szCs w:val="21"/>
                <w:lang w:eastAsia="en-US"/>
              </w:rPr>
            </w:pPr>
          </w:p>
        </w:tc>
        <w:tc>
          <w:tcPr>
            <w:tcW w:w="1133" w:type="dxa"/>
            <w:tcBorders>
              <w:top w:val="single" w:sz="4" w:space="0" w:color="000000"/>
              <w:left w:val="single" w:sz="4" w:space="0" w:color="000000"/>
              <w:bottom w:val="single" w:sz="4" w:space="0" w:color="000000"/>
              <w:right w:val="single" w:sz="4" w:space="0" w:color="000000"/>
            </w:tcBorders>
            <w:hideMark/>
          </w:tcPr>
          <w:p w:rsidR="00E54474" w:rsidRDefault="00E54474">
            <w:pPr>
              <w:autoSpaceDE w:val="0"/>
              <w:autoSpaceDN w:val="0"/>
              <w:adjustRightInd w:val="0"/>
              <w:spacing w:after="0" w:line="240" w:lineRule="atLeast"/>
              <w:jc w:val="right"/>
              <w:textAlignment w:val="baseline"/>
              <w:rPr>
                <w:sz w:val="21"/>
                <w:szCs w:val="21"/>
                <w:lang w:eastAsia="en-US"/>
              </w:rPr>
            </w:pPr>
            <w:r>
              <w:rPr>
                <w:sz w:val="21"/>
                <w:szCs w:val="21"/>
                <w:lang w:eastAsia="en-US"/>
              </w:rPr>
              <w:t>3.000</w:t>
            </w:r>
          </w:p>
        </w:tc>
      </w:tr>
      <w:tr w:rsidR="00E54474" w:rsidTr="00F00CC9">
        <w:trPr>
          <w:trHeight w:val="60"/>
        </w:trPr>
        <w:tc>
          <w:tcPr>
            <w:tcW w:w="7084"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uto"/>
              <w:rPr>
                <w:sz w:val="21"/>
                <w:szCs w:val="21"/>
                <w:lang w:eastAsia="en-US"/>
              </w:rPr>
            </w:pPr>
            <w:r>
              <w:rPr>
                <w:sz w:val="21"/>
                <w:szCs w:val="21"/>
                <w:lang w:eastAsia="en-US"/>
              </w:rPr>
              <w:t>20. Έξοδα αποθήκευσης του ετοίμου προϊόντος «Π»</w:t>
            </w:r>
          </w:p>
        </w:tc>
        <w:tc>
          <w:tcPr>
            <w:tcW w:w="993"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tcPr>
          <w:p w:rsidR="00E54474" w:rsidRDefault="00E54474">
            <w:pPr>
              <w:autoSpaceDE w:val="0"/>
              <w:autoSpaceDN w:val="0"/>
              <w:adjustRightInd w:val="0"/>
              <w:spacing w:after="0" w:line="240" w:lineRule="atLeast"/>
              <w:jc w:val="right"/>
              <w:textAlignment w:val="baseline"/>
              <w:rPr>
                <w:sz w:val="21"/>
                <w:szCs w:val="21"/>
                <w:lang w:eastAsia="en-US"/>
              </w:rPr>
            </w:pPr>
          </w:p>
        </w:tc>
        <w:tc>
          <w:tcPr>
            <w:tcW w:w="1133" w:type="dxa"/>
            <w:tcBorders>
              <w:top w:val="single" w:sz="4" w:space="0" w:color="000000"/>
              <w:left w:val="single" w:sz="4" w:space="0" w:color="000000"/>
              <w:bottom w:val="single" w:sz="4" w:space="0" w:color="000000"/>
              <w:right w:val="single" w:sz="4" w:space="0" w:color="000000"/>
            </w:tcBorders>
            <w:hideMark/>
          </w:tcPr>
          <w:p w:rsidR="00E54474" w:rsidRDefault="00E54474">
            <w:pPr>
              <w:autoSpaceDE w:val="0"/>
              <w:autoSpaceDN w:val="0"/>
              <w:adjustRightInd w:val="0"/>
              <w:spacing w:after="0" w:line="240" w:lineRule="atLeast"/>
              <w:jc w:val="right"/>
              <w:textAlignment w:val="baseline"/>
              <w:rPr>
                <w:sz w:val="21"/>
                <w:szCs w:val="21"/>
                <w:lang w:eastAsia="en-US"/>
              </w:rPr>
            </w:pPr>
            <w:r>
              <w:rPr>
                <w:sz w:val="21"/>
                <w:szCs w:val="21"/>
                <w:lang w:eastAsia="en-US"/>
              </w:rPr>
              <w:t>400</w:t>
            </w:r>
          </w:p>
        </w:tc>
      </w:tr>
      <w:tr w:rsidR="00E54474" w:rsidTr="00F00CC9">
        <w:trPr>
          <w:trHeight w:val="60"/>
        </w:trPr>
        <w:tc>
          <w:tcPr>
            <w:tcW w:w="7084"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uto"/>
              <w:rPr>
                <w:sz w:val="21"/>
                <w:szCs w:val="21"/>
                <w:lang w:eastAsia="en-US"/>
              </w:rPr>
            </w:pPr>
            <w:r>
              <w:rPr>
                <w:sz w:val="21"/>
                <w:szCs w:val="21"/>
                <w:lang w:eastAsia="en-US"/>
              </w:rPr>
              <w:t>21. Δαπάνες επισκευών και συντηρήσεων του τμήματος παραγωγής</w:t>
            </w:r>
          </w:p>
        </w:tc>
        <w:tc>
          <w:tcPr>
            <w:tcW w:w="993"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tcPr>
          <w:p w:rsidR="00E54474" w:rsidRDefault="00E54474">
            <w:pPr>
              <w:autoSpaceDE w:val="0"/>
              <w:autoSpaceDN w:val="0"/>
              <w:adjustRightInd w:val="0"/>
              <w:spacing w:after="0" w:line="240" w:lineRule="atLeast"/>
              <w:jc w:val="right"/>
              <w:textAlignment w:val="baseline"/>
              <w:rPr>
                <w:sz w:val="21"/>
                <w:szCs w:val="21"/>
                <w:lang w:eastAsia="en-US"/>
              </w:rPr>
            </w:pPr>
          </w:p>
        </w:tc>
        <w:tc>
          <w:tcPr>
            <w:tcW w:w="1133" w:type="dxa"/>
            <w:tcBorders>
              <w:top w:val="single" w:sz="4" w:space="0" w:color="000000"/>
              <w:left w:val="single" w:sz="4" w:space="0" w:color="000000"/>
              <w:bottom w:val="single" w:sz="4" w:space="0" w:color="000000"/>
              <w:right w:val="single" w:sz="4" w:space="0" w:color="000000"/>
            </w:tcBorders>
            <w:hideMark/>
          </w:tcPr>
          <w:p w:rsidR="00E54474" w:rsidRDefault="00E54474">
            <w:pPr>
              <w:autoSpaceDE w:val="0"/>
              <w:autoSpaceDN w:val="0"/>
              <w:adjustRightInd w:val="0"/>
              <w:spacing w:after="0" w:line="240" w:lineRule="atLeast"/>
              <w:jc w:val="right"/>
              <w:textAlignment w:val="baseline"/>
              <w:rPr>
                <w:sz w:val="21"/>
                <w:szCs w:val="21"/>
                <w:lang w:eastAsia="en-US"/>
              </w:rPr>
            </w:pPr>
            <w:r>
              <w:rPr>
                <w:sz w:val="21"/>
                <w:szCs w:val="21"/>
                <w:lang w:eastAsia="en-US"/>
              </w:rPr>
              <w:t>90</w:t>
            </w:r>
          </w:p>
        </w:tc>
      </w:tr>
    </w:tbl>
    <w:p w:rsidR="00E54474" w:rsidRDefault="00E54474" w:rsidP="00E54474">
      <w:pPr>
        <w:ind w:left="-851"/>
        <w:rPr>
          <w:bCs/>
          <w:sz w:val="21"/>
          <w:szCs w:val="21"/>
        </w:rPr>
      </w:pPr>
      <w:r>
        <w:rPr>
          <w:sz w:val="21"/>
          <w:szCs w:val="21"/>
        </w:rPr>
        <w:t xml:space="preserve">     </w:t>
      </w:r>
      <w:r>
        <w:rPr>
          <w:bCs/>
          <w:sz w:val="21"/>
          <w:szCs w:val="21"/>
        </w:rPr>
        <w:t xml:space="preserve">    </w:t>
      </w:r>
    </w:p>
    <w:p w:rsidR="00E54474" w:rsidRDefault="00E54474" w:rsidP="00E54474">
      <w:pPr>
        <w:ind w:left="-851"/>
        <w:rPr>
          <w:b/>
        </w:rPr>
      </w:pPr>
      <w:r>
        <w:rPr>
          <w:b/>
        </w:rPr>
        <w:t>Ζητείται</w:t>
      </w:r>
    </w:p>
    <w:p w:rsidR="00E54474" w:rsidRDefault="00E54474" w:rsidP="00E54474">
      <w:pPr>
        <w:ind w:left="-851"/>
        <w:rPr>
          <w:sz w:val="21"/>
          <w:szCs w:val="21"/>
        </w:rPr>
      </w:pPr>
      <w:r>
        <w:rPr>
          <w:b/>
          <w:sz w:val="21"/>
          <w:szCs w:val="21"/>
        </w:rPr>
        <w:t>1.</w:t>
      </w:r>
      <w:r>
        <w:rPr>
          <w:sz w:val="21"/>
          <w:szCs w:val="21"/>
        </w:rPr>
        <w:t xml:space="preserve"> Από τον πιο πάνω πίνακα, να γίνει επιλογή των δαπανών που συνθέτουν α) το κόστος εισαγωγής της πρώτης ύλης «Υ», β) το κόστος του ετοίμου προϊόντος «Π» υπό την προϋπόθεση ότι ολόκληρη η ποσότητα της πρώτης ύλης «Υ» αναλώθηκε στην παραγωγή του ετοίμου προϊόντος «Π» και γ) ποιές από τις δαπάνες αυτές δεν συνιστούν κόστος και θα πρέπει να μεταφερθούν σε υπολογαριασμούς της ομάδας 6 «Έξοδα και ζημίες». </w:t>
      </w:r>
    </w:p>
    <w:p w:rsidR="00E54474" w:rsidRDefault="00E54474" w:rsidP="00E54474">
      <w:pPr>
        <w:ind w:left="-851"/>
        <w:rPr>
          <w:sz w:val="21"/>
          <w:szCs w:val="21"/>
        </w:rPr>
      </w:pPr>
      <w:r>
        <w:rPr>
          <w:b/>
          <w:sz w:val="21"/>
          <w:szCs w:val="21"/>
        </w:rPr>
        <w:t>2.</w:t>
      </w:r>
      <w:r>
        <w:rPr>
          <w:sz w:val="21"/>
          <w:szCs w:val="21"/>
        </w:rPr>
        <w:t xml:space="preserve"> Να γίνει η ημερολογιακή εγγραφή του κόστους εισαγωγής της πρώτης ύλης «Υ», λαμβανομένου υπόψη: </w:t>
      </w:r>
      <w:r>
        <w:rPr>
          <w:b/>
          <w:sz w:val="21"/>
          <w:szCs w:val="21"/>
        </w:rPr>
        <w:t>α)</w:t>
      </w:r>
      <w:r>
        <w:rPr>
          <w:sz w:val="21"/>
          <w:szCs w:val="21"/>
        </w:rPr>
        <w:t xml:space="preserve"> Η οντότητα «Χ», παρακολουθεί το κόστος εισαγωγής σε ειδικό λογαριασμό «Προπληρωμένα έξοδα σε μη συνδεδεμένες οντότητες-Παραγγελίες εξωτερικού» και </w:t>
      </w:r>
      <w:r>
        <w:rPr>
          <w:b/>
          <w:sz w:val="21"/>
          <w:szCs w:val="21"/>
        </w:rPr>
        <w:t>β)</w:t>
      </w:r>
      <w:r>
        <w:rPr>
          <w:sz w:val="21"/>
          <w:szCs w:val="21"/>
        </w:rPr>
        <w:t xml:space="preserve"> η μετατροπή των δολαρίων ΗΠΑ σε ευρώ να γίνει με ισοτιμία 1€=1,2$.</w:t>
      </w:r>
    </w:p>
    <w:p w:rsidR="00E54474" w:rsidRDefault="00E54474" w:rsidP="00E54474">
      <w:pPr>
        <w:ind w:left="-851"/>
        <w:rPr>
          <w:b/>
        </w:rPr>
      </w:pPr>
      <w:r>
        <w:rPr>
          <w:b/>
        </w:rPr>
        <w:t>Ανάλυση-λύση</w:t>
      </w:r>
    </w:p>
    <w:p w:rsidR="00E54474" w:rsidRDefault="00E54474" w:rsidP="00E54474">
      <w:pPr>
        <w:ind w:left="-851"/>
        <w:rPr>
          <w:bCs/>
        </w:rPr>
      </w:pPr>
      <w:r>
        <w:rPr>
          <w:b/>
        </w:rPr>
        <w:t>1α. Δαπάνες που συνθέτουν το κόστος εισαγωγής της πρώτης ύλης «Υ»:</w:t>
      </w:r>
      <w:r>
        <w:rPr>
          <w:bCs/>
        </w:rPr>
        <w:t xml:space="preserve">    </w:t>
      </w:r>
    </w:p>
    <w:p w:rsidR="00E54474" w:rsidRDefault="00E54474" w:rsidP="00E54474">
      <w:pPr>
        <w:ind w:left="-851"/>
        <w:rPr>
          <w:sz w:val="21"/>
          <w:szCs w:val="21"/>
        </w:rPr>
      </w:pPr>
      <w:r>
        <w:rPr>
          <w:bCs/>
          <w:sz w:val="21"/>
          <w:szCs w:val="21"/>
        </w:rPr>
        <w:t xml:space="preserve">    Το κόστος αγοράς για </w:t>
      </w:r>
      <w:r>
        <w:rPr>
          <w:sz w:val="21"/>
          <w:szCs w:val="21"/>
        </w:rPr>
        <w:t xml:space="preserve">εμπορεύματα και υλικά περιλαμβάνει την τιμή αγοράς, τους εισαγωγικούς δασμούς και άλλους φόρους (εκτός εκείνων που η οντότητα μπορεί στη συνέχεια να ανακτήσει από την φορολογική αρχή, όπως ο ΦΠΑ), μεταφορικά, κόστη παράδοσης και άλλα κόστη άμεσα επιρριπτέα στην απόκτηση των ετοίμων αγαθών, υλικών και υπηρεσιών. </w:t>
      </w:r>
      <w:r>
        <w:rPr>
          <w:vanish/>
          <w:sz w:val="21"/>
          <w:szCs w:val="21"/>
        </w:rPr>
        <w:t xml:space="preserve"> </w:t>
      </w:r>
      <w:r>
        <w:rPr>
          <w:sz w:val="21"/>
          <w:szCs w:val="21"/>
        </w:rPr>
        <w:t>Εμπορικές εκπτώσεις, μειώσεις τιμών και άλλα παρόμοια στοιχεία αφαιρούνται κατά τον προσδιορισμό του κόστους κτήσης των αποθεμάτων. Έξοδα</w:t>
      </w:r>
      <w:r>
        <w:rPr>
          <w:bCs/>
          <w:sz w:val="21"/>
          <w:szCs w:val="21"/>
        </w:rPr>
        <w:t xml:space="preserve"> διοίκησης, διάθεσης και αποθήκευσης, εκτός της περίπτωσης κατά την οποία η αποθήκευση είναι απαραίτητο στοιχείο της παραγωγικής διαδικασίας (όπως στην περίπτωση παλαίωσης κρασιού, τυριών κ.λπ.), δεν βαρύνουν το κόστος κτήσεως. Ως εκ τούτου, ο σχετικός πίνακας των δαπανών που συνθέτουν το κόστος εισαγωγής της πρώτης ύλης «Υ», έχει ως εξής:</w:t>
      </w:r>
    </w:p>
    <w:tbl>
      <w:tblPr>
        <w:tblW w:w="9210" w:type="dxa"/>
        <w:tblInd w:w="-794" w:type="dxa"/>
        <w:tblLayout w:type="fixed"/>
        <w:tblCellMar>
          <w:left w:w="0" w:type="dxa"/>
          <w:right w:w="0" w:type="dxa"/>
        </w:tblCellMar>
        <w:tblLook w:val="04A0" w:firstRow="1" w:lastRow="0" w:firstColumn="1" w:lastColumn="0" w:noHBand="0" w:noVBand="1"/>
      </w:tblPr>
      <w:tblGrid>
        <w:gridCol w:w="6944"/>
        <w:gridCol w:w="1133"/>
        <w:gridCol w:w="1133"/>
      </w:tblGrid>
      <w:tr w:rsidR="00E54474" w:rsidTr="00E54474">
        <w:trPr>
          <w:trHeight w:val="60"/>
        </w:trPr>
        <w:tc>
          <w:tcPr>
            <w:tcW w:w="6947" w:type="dxa"/>
            <w:tcBorders>
              <w:top w:val="single" w:sz="4" w:space="0" w:color="auto"/>
              <w:left w:val="single" w:sz="4" w:space="0" w:color="000000"/>
              <w:bottom w:val="single" w:sz="4" w:space="0" w:color="000000"/>
              <w:right w:val="single" w:sz="4" w:space="0" w:color="000000"/>
            </w:tcBorders>
            <w:tcMar>
              <w:top w:w="79" w:type="dxa"/>
              <w:left w:w="57" w:type="dxa"/>
              <w:bottom w:w="79" w:type="dxa"/>
              <w:right w:w="57" w:type="dxa"/>
            </w:tcMar>
          </w:tcPr>
          <w:p w:rsidR="00E54474" w:rsidRDefault="00E54474">
            <w:pPr>
              <w:autoSpaceDE w:val="0"/>
              <w:autoSpaceDN w:val="0"/>
              <w:adjustRightInd w:val="0"/>
              <w:spacing w:after="0" w:line="240" w:lineRule="atLeast"/>
              <w:ind w:left="283" w:hanging="283"/>
              <w:textAlignment w:val="baseline"/>
              <w:rPr>
                <w:b/>
                <w:sz w:val="21"/>
                <w:szCs w:val="21"/>
                <w:lang w:eastAsia="en-US"/>
              </w:rPr>
            </w:pPr>
          </w:p>
        </w:tc>
        <w:tc>
          <w:tcPr>
            <w:tcW w:w="1134" w:type="dxa"/>
            <w:tcBorders>
              <w:top w:val="single" w:sz="4" w:space="0" w:color="auto"/>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tLeast"/>
              <w:jc w:val="center"/>
              <w:textAlignment w:val="baseline"/>
              <w:rPr>
                <w:b/>
                <w:sz w:val="21"/>
                <w:szCs w:val="21"/>
                <w:lang w:val="en-US" w:eastAsia="en-US"/>
              </w:rPr>
            </w:pPr>
            <w:r>
              <w:rPr>
                <w:b/>
                <w:sz w:val="21"/>
                <w:szCs w:val="21"/>
                <w:lang w:val="en-US" w:eastAsia="en-US"/>
              </w:rPr>
              <w:t>US$</w:t>
            </w:r>
          </w:p>
        </w:tc>
        <w:tc>
          <w:tcPr>
            <w:tcW w:w="1134" w:type="dxa"/>
            <w:tcBorders>
              <w:top w:val="single" w:sz="4" w:space="0" w:color="auto"/>
              <w:left w:val="single" w:sz="4" w:space="0" w:color="000000"/>
              <w:bottom w:val="single" w:sz="4" w:space="0" w:color="000000"/>
              <w:right w:val="single" w:sz="4" w:space="0" w:color="000000"/>
            </w:tcBorders>
            <w:hideMark/>
          </w:tcPr>
          <w:p w:rsidR="00E54474" w:rsidRDefault="00E54474">
            <w:pPr>
              <w:autoSpaceDE w:val="0"/>
              <w:autoSpaceDN w:val="0"/>
              <w:adjustRightInd w:val="0"/>
              <w:spacing w:after="0" w:line="240" w:lineRule="atLeast"/>
              <w:jc w:val="center"/>
              <w:textAlignment w:val="baseline"/>
              <w:rPr>
                <w:b/>
                <w:sz w:val="21"/>
                <w:szCs w:val="21"/>
                <w:lang w:val="en-US" w:eastAsia="en-US"/>
              </w:rPr>
            </w:pPr>
            <w:r>
              <w:rPr>
                <w:b/>
                <w:sz w:val="21"/>
                <w:szCs w:val="21"/>
                <w:lang w:val="en-US" w:eastAsia="en-US"/>
              </w:rPr>
              <w:t>EURO</w:t>
            </w:r>
          </w:p>
        </w:tc>
      </w:tr>
      <w:tr w:rsidR="00E54474" w:rsidTr="00E54474">
        <w:trPr>
          <w:trHeight w:val="60"/>
        </w:trPr>
        <w:tc>
          <w:tcPr>
            <w:tcW w:w="6947" w:type="dxa"/>
            <w:tcBorders>
              <w:top w:val="single" w:sz="4" w:space="0" w:color="auto"/>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tLeast"/>
              <w:ind w:left="283" w:hanging="283"/>
              <w:textAlignment w:val="baseline"/>
              <w:rPr>
                <w:sz w:val="21"/>
                <w:szCs w:val="21"/>
                <w:lang w:eastAsia="en-US"/>
              </w:rPr>
            </w:pPr>
            <w:r>
              <w:rPr>
                <w:sz w:val="21"/>
                <w:szCs w:val="21"/>
                <w:lang w:eastAsia="en-US"/>
              </w:rPr>
              <w:t>1.</w:t>
            </w:r>
            <w:r>
              <w:rPr>
                <w:sz w:val="21"/>
                <w:szCs w:val="21"/>
                <w:lang w:eastAsia="en-US"/>
              </w:rPr>
              <w:tab/>
              <w:t xml:space="preserve">Τιμολογιακή αξία </w:t>
            </w:r>
          </w:p>
        </w:tc>
        <w:tc>
          <w:tcPr>
            <w:tcW w:w="1134" w:type="dxa"/>
            <w:tcBorders>
              <w:top w:val="single" w:sz="4" w:space="0" w:color="auto"/>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tLeast"/>
              <w:jc w:val="right"/>
              <w:textAlignment w:val="baseline"/>
              <w:rPr>
                <w:sz w:val="21"/>
                <w:szCs w:val="21"/>
                <w:lang w:eastAsia="en-US"/>
              </w:rPr>
            </w:pPr>
            <w:r>
              <w:rPr>
                <w:sz w:val="21"/>
                <w:szCs w:val="21"/>
                <w:lang w:eastAsia="en-US"/>
              </w:rPr>
              <w:t>12.000</w:t>
            </w:r>
          </w:p>
        </w:tc>
        <w:tc>
          <w:tcPr>
            <w:tcW w:w="1134" w:type="dxa"/>
            <w:tcBorders>
              <w:top w:val="single" w:sz="4" w:space="0" w:color="auto"/>
              <w:left w:val="single" w:sz="4" w:space="0" w:color="000000"/>
              <w:bottom w:val="single" w:sz="4" w:space="0" w:color="000000"/>
              <w:right w:val="single" w:sz="4" w:space="0" w:color="000000"/>
            </w:tcBorders>
            <w:hideMark/>
          </w:tcPr>
          <w:p w:rsidR="00E54474" w:rsidRDefault="00E54474">
            <w:pPr>
              <w:autoSpaceDE w:val="0"/>
              <w:autoSpaceDN w:val="0"/>
              <w:adjustRightInd w:val="0"/>
              <w:spacing w:after="0" w:line="240" w:lineRule="atLeast"/>
              <w:jc w:val="right"/>
              <w:textAlignment w:val="baseline"/>
              <w:rPr>
                <w:sz w:val="21"/>
                <w:szCs w:val="21"/>
                <w:lang w:eastAsia="en-US"/>
              </w:rPr>
            </w:pPr>
            <w:r>
              <w:rPr>
                <w:sz w:val="21"/>
                <w:szCs w:val="21"/>
                <w:lang w:eastAsia="en-US"/>
              </w:rPr>
              <w:t>10.000</w:t>
            </w:r>
          </w:p>
        </w:tc>
      </w:tr>
      <w:tr w:rsidR="00E54474" w:rsidTr="00E54474">
        <w:trPr>
          <w:trHeight w:val="60"/>
        </w:trPr>
        <w:tc>
          <w:tcPr>
            <w:tcW w:w="6947"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tLeast"/>
              <w:ind w:left="283" w:hanging="283"/>
              <w:textAlignment w:val="baseline"/>
              <w:rPr>
                <w:sz w:val="21"/>
                <w:szCs w:val="21"/>
                <w:lang w:eastAsia="en-US"/>
              </w:rPr>
            </w:pPr>
            <w:r>
              <w:rPr>
                <w:sz w:val="21"/>
                <w:szCs w:val="21"/>
                <w:lang w:eastAsia="en-US"/>
              </w:rPr>
              <w:t>2.</w:t>
            </w:r>
            <w:r>
              <w:rPr>
                <w:sz w:val="21"/>
                <w:szCs w:val="21"/>
                <w:lang w:eastAsia="en-US"/>
              </w:rPr>
              <w:tab/>
              <w:t>Έκπτωση εκτός τιμολογίου προσυμφωνημένη χωρίς όρους</w:t>
            </w:r>
          </w:p>
        </w:tc>
        <w:tc>
          <w:tcPr>
            <w:tcW w:w="1134"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tLeast"/>
              <w:jc w:val="right"/>
              <w:textAlignment w:val="baseline"/>
              <w:rPr>
                <w:sz w:val="21"/>
                <w:szCs w:val="21"/>
                <w:lang w:eastAsia="en-US"/>
              </w:rPr>
            </w:pPr>
            <w:r>
              <w:rPr>
                <w:sz w:val="21"/>
                <w:szCs w:val="21"/>
                <w:lang w:eastAsia="en-US"/>
              </w:rPr>
              <w:t>(1.200)</w:t>
            </w:r>
          </w:p>
        </w:tc>
        <w:tc>
          <w:tcPr>
            <w:tcW w:w="1134" w:type="dxa"/>
            <w:tcBorders>
              <w:top w:val="single" w:sz="4" w:space="0" w:color="000000"/>
              <w:left w:val="single" w:sz="4" w:space="0" w:color="000000"/>
              <w:bottom w:val="single" w:sz="4" w:space="0" w:color="000000"/>
              <w:right w:val="single" w:sz="4" w:space="0" w:color="000000"/>
            </w:tcBorders>
            <w:hideMark/>
          </w:tcPr>
          <w:p w:rsidR="00E54474" w:rsidRDefault="00E54474">
            <w:pPr>
              <w:autoSpaceDE w:val="0"/>
              <w:autoSpaceDN w:val="0"/>
              <w:adjustRightInd w:val="0"/>
              <w:spacing w:after="0" w:line="240" w:lineRule="atLeast"/>
              <w:jc w:val="right"/>
              <w:textAlignment w:val="baseline"/>
              <w:rPr>
                <w:sz w:val="21"/>
                <w:szCs w:val="21"/>
                <w:lang w:eastAsia="en-US"/>
              </w:rPr>
            </w:pPr>
            <w:r>
              <w:rPr>
                <w:sz w:val="21"/>
                <w:szCs w:val="21"/>
                <w:lang w:eastAsia="en-US"/>
              </w:rPr>
              <w:t>(1.000)</w:t>
            </w:r>
          </w:p>
        </w:tc>
      </w:tr>
      <w:tr w:rsidR="00E54474" w:rsidTr="00E54474">
        <w:trPr>
          <w:trHeight w:val="60"/>
        </w:trPr>
        <w:tc>
          <w:tcPr>
            <w:tcW w:w="6947"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tLeast"/>
              <w:ind w:left="283" w:hanging="283"/>
              <w:textAlignment w:val="baseline"/>
              <w:rPr>
                <w:sz w:val="21"/>
                <w:szCs w:val="21"/>
                <w:lang w:eastAsia="en-US"/>
              </w:rPr>
            </w:pPr>
            <w:r>
              <w:rPr>
                <w:sz w:val="21"/>
                <w:szCs w:val="21"/>
                <w:lang w:eastAsia="en-US"/>
              </w:rPr>
              <w:t>3.</w:t>
            </w:r>
            <w:r>
              <w:rPr>
                <w:sz w:val="21"/>
                <w:szCs w:val="21"/>
                <w:lang w:eastAsia="en-US"/>
              </w:rPr>
              <w:tab/>
              <w:t>Μεταφορικά από τις ΗΠΑ έως το τελωνείο προορισμού</w:t>
            </w:r>
          </w:p>
        </w:tc>
        <w:tc>
          <w:tcPr>
            <w:tcW w:w="1134"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tLeast"/>
              <w:jc w:val="right"/>
              <w:textAlignment w:val="baseline"/>
              <w:rPr>
                <w:sz w:val="21"/>
                <w:szCs w:val="21"/>
                <w:lang w:eastAsia="en-US"/>
              </w:rPr>
            </w:pPr>
            <w:r>
              <w:rPr>
                <w:sz w:val="21"/>
                <w:szCs w:val="21"/>
                <w:lang w:eastAsia="en-US"/>
              </w:rPr>
              <w:t>600</w:t>
            </w:r>
          </w:p>
        </w:tc>
        <w:tc>
          <w:tcPr>
            <w:tcW w:w="1134" w:type="dxa"/>
            <w:tcBorders>
              <w:top w:val="single" w:sz="4" w:space="0" w:color="000000"/>
              <w:left w:val="single" w:sz="4" w:space="0" w:color="000000"/>
              <w:bottom w:val="single" w:sz="4" w:space="0" w:color="000000"/>
              <w:right w:val="single" w:sz="4" w:space="0" w:color="000000"/>
            </w:tcBorders>
            <w:hideMark/>
          </w:tcPr>
          <w:p w:rsidR="00E54474" w:rsidRDefault="00E54474">
            <w:pPr>
              <w:autoSpaceDE w:val="0"/>
              <w:autoSpaceDN w:val="0"/>
              <w:adjustRightInd w:val="0"/>
              <w:spacing w:after="0" w:line="240" w:lineRule="atLeast"/>
              <w:jc w:val="right"/>
              <w:textAlignment w:val="baseline"/>
              <w:rPr>
                <w:sz w:val="21"/>
                <w:szCs w:val="21"/>
                <w:lang w:eastAsia="en-US"/>
              </w:rPr>
            </w:pPr>
            <w:r>
              <w:rPr>
                <w:sz w:val="21"/>
                <w:szCs w:val="21"/>
                <w:lang w:eastAsia="en-US"/>
              </w:rPr>
              <w:t>500</w:t>
            </w:r>
          </w:p>
        </w:tc>
      </w:tr>
      <w:tr w:rsidR="00E54474" w:rsidTr="00E54474">
        <w:trPr>
          <w:trHeight w:val="60"/>
        </w:trPr>
        <w:tc>
          <w:tcPr>
            <w:tcW w:w="6947"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tLeast"/>
              <w:ind w:left="283" w:hanging="283"/>
              <w:textAlignment w:val="baseline"/>
              <w:rPr>
                <w:sz w:val="21"/>
                <w:szCs w:val="21"/>
                <w:lang w:eastAsia="en-US"/>
              </w:rPr>
            </w:pPr>
            <w:r>
              <w:rPr>
                <w:sz w:val="21"/>
                <w:szCs w:val="21"/>
                <w:lang w:eastAsia="en-US"/>
              </w:rPr>
              <w:t>4.</w:t>
            </w:r>
            <w:r>
              <w:rPr>
                <w:sz w:val="21"/>
                <w:szCs w:val="21"/>
                <w:lang w:eastAsia="en-US"/>
              </w:rPr>
              <w:tab/>
              <w:t>Ασφάλιστρα μεταφοράς</w:t>
            </w:r>
          </w:p>
        </w:tc>
        <w:tc>
          <w:tcPr>
            <w:tcW w:w="1134"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tLeast"/>
              <w:jc w:val="right"/>
              <w:textAlignment w:val="baseline"/>
              <w:rPr>
                <w:sz w:val="21"/>
                <w:szCs w:val="21"/>
                <w:lang w:eastAsia="en-US"/>
              </w:rPr>
            </w:pPr>
            <w:r>
              <w:rPr>
                <w:sz w:val="21"/>
                <w:szCs w:val="21"/>
                <w:lang w:eastAsia="en-US"/>
              </w:rPr>
              <w:t>300</w:t>
            </w:r>
          </w:p>
        </w:tc>
        <w:tc>
          <w:tcPr>
            <w:tcW w:w="1134" w:type="dxa"/>
            <w:tcBorders>
              <w:top w:val="single" w:sz="4" w:space="0" w:color="000000"/>
              <w:left w:val="single" w:sz="4" w:space="0" w:color="000000"/>
              <w:bottom w:val="single" w:sz="4" w:space="0" w:color="000000"/>
              <w:right w:val="single" w:sz="4" w:space="0" w:color="000000"/>
            </w:tcBorders>
            <w:hideMark/>
          </w:tcPr>
          <w:p w:rsidR="00E54474" w:rsidRDefault="00E54474">
            <w:pPr>
              <w:autoSpaceDE w:val="0"/>
              <w:autoSpaceDN w:val="0"/>
              <w:adjustRightInd w:val="0"/>
              <w:spacing w:after="0" w:line="240" w:lineRule="atLeast"/>
              <w:jc w:val="right"/>
              <w:textAlignment w:val="baseline"/>
              <w:rPr>
                <w:sz w:val="21"/>
                <w:szCs w:val="21"/>
                <w:lang w:eastAsia="en-US"/>
              </w:rPr>
            </w:pPr>
            <w:r>
              <w:rPr>
                <w:sz w:val="21"/>
                <w:szCs w:val="21"/>
                <w:lang w:eastAsia="en-US"/>
              </w:rPr>
              <w:t>250</w:t>
            </w:r>
          </w:p>
        </w:tc>
      </w:tr>
      <w:tr w:rsidR="00E54474" w:rsidTr="00E54474">
        <w:trPr>
          <w:trHeight w:val="60"/>
        </w:trPr>
        <w:tc>
          <w:tcPr>
            <w:tcW w:w="6947"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tLeast"/>
              <w:ind w:left="283" w:hanging="283"/>
              <w:textAlignment w:val="baseline"/>
              <w:rPr>
                <w:sz w:val="21"/>
                <w:szCs w:val="21"/>
                <w:lang w:eastAsia="en-US"/>
              </w:rPr>
            </w:pPr>
            <w:r>
              <w:rPr>
                <w:sz w:val="21"/>
                <w:szCs w:val="21"/>
                <w:lang w:eastAsia="en-US"/>
              </w:rPr>
              <w:t>5.</w:t>
            </w:r>
            <w:r>
              <w:rPr>
                <w:sz w:val="21"/>
                <w:szCs w:val="21"/>
                <w:lang w:eastAsia="en-US"/>
              </w:rPr>
              <w:tab/>
              <w:t>Έξοδα συσκευασίας</w:t>
            </w:r>
          </w:p>
        </w:tc>
        <w:tc>
          <w:tcPr>
            <w:tcW w:w="1134"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tLeast"/>
              <w:jc w:val="right"/>
              <w:textAlignment w:val="baseline"/>
              <w:rPr>
                <w:sz w:val="21"/>
                <w:szCs w:val="21"/>
                <w:lang w:eastAsia="en-US"/>
              </w:rPr>
            </w:pPr>
            <w:r>
              <w:rPr>
                <w:sz w:val="21"/>
                <w:szCs w:val="21"/>
                <w:lang w:eastAsia="en-US"/>
              </w:rPr>
              <w:t>180</w:t>
            </w:r>
          </w:p>
        </w:tc>
        <w:tc>
          <w:tcPr>
            <w:tcW w:w="1134" w:type="dxa"/>
            <w:tcBorders>
              <w:top w:val="single" w:sz="4" w:space="0" w:color="000000"/>
              <w:left w:val="single" w:sz="4" w:space="0" w:color="000000"/>
              <w:bottom w:val="single" w:sz="4" w:space="0" w:color="000000"/>
              <w:right w:val="single" w:sz="4" w:space="0" w:color="000000"/>
            </w:tcBorders>
            <w:hideMark/>
          </w:tcPr>
          <w:p w:rsidR="00E54474" w:rsidRDefault="00E54474">
            <w:pPr>
              <w:autoSpaceDE w:val="0"/>
              <w:autoSpaceDN w:val="0"/>
              <w:adjustRightInd w:val="0"/>
              <w:spacing w:after="0" w:line="240" w:lineRule="atLeast"/>
              <w:jc w:val="right"/>
              <w:textAlignment w:val="baseline"/>
              <w:rPr>
                <w:sz w:val="21"/>
                <w:szCs w:val="21"/>
                <w:lang w:eastAsia="en-US"/>
              </w:rPr>
            </w:pPr>
            <w:r>
              <w:rPr>
                <w:sz w:val="21"/>
                <w:szCs w:val="21"/>
                <w:lang w:eastAsia="en-US"/>
              </w:rPr>
              <w:t>150</w:t>
            </w:r>
          </w:p>
        </w:tc>
      </w:tr>
      <w:tr w:rsidR="00E54474" w:rsidTr="00E54474">
        <w:trPr>
          <w:trHeight w:val="60"/>
        </w:trPr>
        <w:tc>
          <w:tcPr>
            <w:tcW w:w="6947"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tLeast"/>
              <w:ind w:left="283" w:hanging="283"/>
              <w:textAlignment w:val="baseline"/>
              <w:rPr>
                <w:sz w:val="21"/>
                <w:szCs w:val="21"/>
                <w:lang w:eastAsia="en-US"/>
              </w:rPr>
            </w:pPr>
            <w:r>
              <w:rPr>
                <w:sz w:val="21"/>
                <w:szCs w:val="21"/>
                <w:lang w:eastAsia="en-US"/>
              </w:rPr>
              <w:t>6.</w:t>
            </w:r>
            <w:r>
              <w:rPr>
                <w:sz w:val="21"/>
                <w:szCs w:val="21"/>
                <w:lang w:eastAsia="en-US"/>
              </w:rPr>
              <w:tab/>
              <w:t xml:space="preserve">Αποθήκευτρα τελωνειακού χώρου ΟΛΠ </w:t>
            </w:r>
          </w:p>
        </w:tc>
        <w:tc>
          <w:tcPr>
            <w:tcW w:w="1134"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tcPr>
          <w:p w:rsidR="00E54474" w:rsidRDefault="00E54474">
            <w:pPr>
              <w:autoSpaceDE w:val="0"/>
              <w:autoSpaceDN w:val="0"/>
              <w:adjustRightInd w:val="0"/>
              <w:spacing w:after="0" w:line="240" w:lineRule="atLeast"/>
              <w:jc w:val="right"/>
              <w:textAlignment w:val="baseline"/>
              <w:rPr>
                <w:sz w:val="21"/>
                <w:szCs w:val="21"/>
                <w:lang w:eastAsia="en-US"/>
              </w:rPr>
            </w:pPr>
          </w:p>
        </w:tc>
        <w:tc>
          <w:tcPr>
            <w:tcW w:w="1134" w:type="dxa"/>
            <w:tcBorders>
              <w:top w:val="single" w:sz="4" w:space="0" w:color="000000"/>
              <w:left w:val="single" w:sz="4" w:space="0" w:color="000000"/>
              <w:bottom w:val="single" w:sz="4" w:space="0" w:color="000000"/>
              <w:right w:val="single" w:sz="4" w:space="0" w:color="000000"/>
            </w:tcBorders>
            <w:hideMark/>
          </w:tcPr>
          <w:p w:rsidR="00E54474" w:rsidRDefault="00E54474">
            <w:pPr>
              <w:autoSpaceDE w:val="0"/>
              <w:autoSpaceDN w:val="0"/>
              <w:adjustRightInd w:val="0"/>
              <w:spacing w:after="0" w:line="240" w:lineRule="atLeast"/>
              <w:jc w:val="right"/>
              <w:textAlignment w:val="baseline"/>
              <w:rPr>
                <w:sz w:val="21"/>
                <w:szCs w:val="21"/>
                <w:lang w:eastAsia="en-US"/>
              </w:rPr>
            </w:pPr>
            <w:r>
              <w:rPr>
                <w:sz w:val="21"/>
                <w:szCs w:val="21"/>
                <w:lang w:eastAsia="en-US"/>
              </w:rPr>
              <w:t>65</w:t>
            </w:r>
          </w:p>
        </w:tc>
      </w:tr>
      <w:tr w:rsidR="00E54474" w:rsidTr="00E54474">
        <w:trPr>
          <w:trHeight w:val="60"/>
        </w:trPr>
        <w:tc>
          <w:tcPr>
            <w:tcW w:w="6947"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tLeast"/>
              <w:ind w:left="283" w:hanging="283"/>
              <w:textAlignment w:val="baseline"/>
              <w:rPr>
                <w:sz w:val="21"/>
                <w:szCs w:val="21"/>
                <w:lang w:eastAsia="en-US"/>
              </w:rPr>
            </w:pPr>
            <w:r>
              <w:rPr>
                <w:sz w:val="21"/>
                <w:szCs w:val="21"/>
                <w:lang w:eastAsia="en-US"/>
              </w:rPr>
              <w:t>7.</w:t>
            </w:r>
            <w:r>
              <w:rPr>
                <w:sz w:val="21"/>
                <w:szCs w:val="21"/>
                <w:lang w:eastAsia="en-US"/>
              </w:rPr>
              <w:tab/>
              <w:t>Προμήθεια διαμεσολαβητή</w:t>
            </w:r>
          </w:p>
        </w:tc>
        <w:tc>
          <w:tcPr>
            <w:tcW w:w="1134"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tcPr>
          <w:p w:rsidR="00E54474" w:rsidRDefault="00E54474">
            <w:pPr>
              <w:autoSpaceDE w:val="0"/>
              <w:autoSpaceDN w:val="0"/>
              <w:adjustRightInd w:val="0"/>
              <w:spacing w:after="0" w:line="240" w:lineRule="atLeast"/>
              <w:jc w:val="right"/>
              <w:textAlignment w:val="baseline"/>
              <w:rPr>
                <w:sz w:val="21"/>
                <w:szCs w:val="21"/>
                <w:lang w:eastAsia="en-US"/>
              </w:rPr>
            </w:pPr>
          </w:p>
        </w:tc>
        <w:tc>
          <w:tcPr>
            <w:tcW w:w="1134" w:type="dxa"/>
            <w:tcBorders>
              <w:top w:val="single" w:sz="4" w:space="0" w:color="000000"/>
              <w:left w:val="single" w:sz="4" w:space="0" w:color="000000"/>
              <w:bottom w:val="single" w:sz="4" w:space="0" w:color="000000"/>
              <w:right w:val="single" w:sz="4" w:space="0" w:color="000000"/>
            </w:tcBorders>
            <w:hideMark/>
          </w:tcPr>
          <w:p w:rsidR="00E54474" w:rsidRDefault="00E54474">
            <w:pPr>
              <w:autoSpaceDE w:val="0"/>
              <w:autoSpaceDN w:val="0"/>
              <w:adjustRightInd w:val="0"/>
              <w:spacing w:after="0" w:line="240" w:lineRule="atLeast"/>
              <w:jc w:val="right"/>
              <w:textAlignment w:val="baseline"/>
              <w:rPr>
                <w:sz w:val="21"/>
                <w:szCs w:val="21"/>
                <w:lang w:eastAsia="en-US"/>
              </w:rPr>
            </w:pPr>
            <w:r>
              <w:rPr>
                <w:sz w:val="21"/>
                <w:szCs w:val="21"/>
                <w:lang w:eastAsia="en-US"/>
              </w:rPr>
              <w:t>100</w:t>
            </w:r>
          </w:p>
        </w:tc>
      </w:tr>
      <w:tr w:rsidR="00E54474" w:rsidTr="00E54474">
        <w:trPr>
          <w:trHeight w:val="60"/>
        </w:trPr>
        <w:tc>
          <w:tcPr>
            <w:tcW w:w="6947"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tLeast"/>
              <w:ind w:left="283" w:hanging="283"/>
              <w:textAlignment w:val="baseline"/>
              <w:rPr>
                <w:sz w:val="21"/>
                <w:szCs w:val="21"/>
                <w:lang w:eastAsia="en-US"/>
              </w:rPr>
            </w:pPr>
            <w:r>
              <w:rPr>
                <w:sz w:val="21"/>
                <w:szCs w:val="21"/>
                <w:lang w:eastAsia="en-US"/>
              </w:rPr>
              <w:t>8.</w:t>
            </w:r>
            <w:r>
              <w:rPr>
                <w:sz w:val="21"/>
                <w:szCs w:val="21"/>
                <w:lang w:eastAsia="en-US"/>
              </w:rPr>
              <w:tab/>
              <w:t>Αμοιβή εκτελωνιστή</w:t>
            </w:r>
          </w:p>
        </w:tc>
        <w:tc>
          <w:tcPr>
            <w:tcW w:w="1134"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tcPr>
          <w:p w:rsidR="00E54474" w:rsidRDefault="00E54474">
            <w:pPr>
              <w:autoSpaceDE w:val="0"/>
              <w:autoSpaceDN w:val="0"/>
              <w:adjustRightInd w:val="0"/>
              <w:spacing w:after="0" w:line="240" w:lineRule="atLeast"/>
              <w:jc w:val="right"/>
              <w:textAlignment w:val="baseline"/>
              <w:rPr>
                <w:sz w:val="21"/>
                <w:szCs w:val="21"/>
                <w:lang w:eastAsia="en-US"/>
              </w:rPr>
            </w:pPr>
          </w:p>
        </w:tc>
        <w:tc>
          <w:tcPr>
            <w:tcW w:w="1134" w:type="dxa"/>
            <w:tcBorders>
              <w:top w:val="single" w:sz="4" w:space="0" w:color="000000"/>
              <w:left w:val="single" w:sz="4" w:space="0" w:color="000000"/>
              <w:bottom w:val="single" w:sz="4" w:space="0" w:color="000000"/>
              <w:right w:val="single" w:sz="4" w:space="0" w:color="000000"/>
            </w:tcBorders>
            <w:hideMark/>
          </w:tcPr>
          <w:p w:rsidR="00E54474" w:rsidRDefault="00E54474">
            <w:pPr>
              <w:autoSpaceDE w:val="0"/>
              <w:autoSpaceDN w:val="0"/>
              <w:adjustRightInd w:val="0"/>
              <w:spacing w:after="0" w:line="240" w:lineRule="atLeast"/>
              <w:jc w:val="right"/>
              <w:textAlignment w:val="baseline"/>
              <w:rPr>
                <w:sz w:val="21"/>
                <w:szCs w:val="21"/>
                <w:lang w:eastAsia="en-US"/>
              </w:rPr>
            </w:pPr>
            <w:r>
              <w:rPr>
                <w:sz w:val="21"/>
                <w:szCs w:val="21"/>
                <w:lang w:eastAsia="en-US"/>
              </w:rPr>
              <w:t>150</w:t>
            </w:r>
          </w:p>
        </w:tc>
      </w:tr>
      <w:tr w:rsidR="00E54474" w:rsidTr="00E54474">
        <w:trPr>
          <w:trHeight w:val="60"/>
        </w:trPr>
        <w:tc>
          <w:tcPr>
            <w:tcW w:w="6947"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tLeast"/>
              <w:ind w:left="283" w:hanging="283"/>
              <w:textAlignment w:val="baseline"/>
              <w:rPr>
                <w:sz w:val="21"/>
                <w:szCs w:val="21"/>
                <w:lang w:eastAsia="en-US"/>
              </w:rPr>
            </w:pPr>
            <w:r>
              <w:rPr>
                <w:sz w:val="21"/>
                <w:szCs w:val="21"/>
                <w:lang w:eastAsia="en-US"/>
              </w:rPr>
              <w:t>9.</w:t>
            </w:r>
            <w:r>
              <w:rPr>
                <w:sz w:val="21"/>
                <w:szCs w:val="21"/>
                <w:lang w:eastAsia="en-US"/>
              </w:rPr>
              <w:tab/>
              <w:t xml:space="preserve"> Δασμοί εισαγωγής και λοιποί εισαγωγικοί φόροι</w:t>
            </w:r>
          </w:p>
        </w:tc>
        <w:tc>
          <w:tcPr>
            <w:tcW w:w="1134"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tcPr>
          <w:p w:rsidR="00E54474" w:rsidRDefault="00E54474">
            <w:pPr>
              <w:autoSpaceDE w:val="0"/>
              <w:autoSpaceDN w:val="0"/>
              <w:adjustRightInd w:val="0"/>
              <w:spacing w:after="0" w:line="240" w:lineRule="atLeast"/>
              <w:jc w:val="right"/>
              <w:textAlignment w:val="baseline"/>
              <w:rPr>
                <w:sz w:val="21"/>
                <w:szCs w:val="21"/>
                <w:lang w:eastAsia="en-US"/>
              </w:rPr>
            </w:pPr>
          </w:p>
        </w:tc>
        <w:tc>
          <w:tcPr>
            <w:tcW w:w="1134" w:type="dxa"/>
            <w:tcBorders>
              <w:top w:val="single" w:sz="4" w:space="0" w:color="000000"/>
              <w:left w:val="single" w:sz="4" w:space="0" w:color="000000"/>
              <w:bottom w:val="single" w:sz="4" w:space="0" w:color="000000"/>
              <w:right w:val="single" w:sz="4" w:space="0" w:color="000000"/>
            </w:tcBorders>
            <w:hideMark/>
          </w:tcPr>
          <w:p w:rsidR="00E54474" w:rsidRDefault="00E54474">
            <w:pPr>
              <w:autoSpaceDE w:val="0"/>
              <w:autoSpaceDN w:val="0"/>
              <w:adjustRightInd w:val="0"/>
              <w:spacing w:after="0" w:line="240" w:lineRule="atLeast"/>
              <w:jc w:val="right"/>
              <w:textAlignment w:val="baseline"/>
              <w:rPr>
                <w:sz w:val="21"/>
                <w:szCs w:val="21"/>
                <w:lang w:eastAsia="en-US"/>
              </w:rPr>
            </w:pPr>
            <w:r>
              <w:rPr>
                <w:sz w:val="21"/>
                <w:szCs w:val="21"/>
                <w:lang w:eastAsia="en-US"/>
              </w:rPr>
              <w:t>645</w:t>
            </w:r>
          </w:p>
        </w:tc>
      </w:tr>
      <w:tr w:rsidR="00E54474" w:rsidTr="00E54474">
        <w:trPr>
          <w:trHeight w:val="60"/>
        </w:trPr>
        <w:tc>
          <w:tcPr>
            <w:tcW w:w="6947"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tLeast"/>
              <w:ind w:left="283" w:hanging="283"/>
              <w:textAlignment w:val="baseline"/>
              <w:rPr>
                <w:sz w:val="21"/>
                <w:szCs w:val="21"/>
                <w:lang w:eastAsia="en-US"/>
              </w:rPr>
            </w:pPr>
            <w:r>
              <w:rPr>
                <w:sz w:val="21"/>
                <w:szCs w:val="21"/>
                <w:lang w:eastAsia="en-US"/>
              </w:rPr>
              <w:t>10. Μεταφορικά από τον τελωνειακό χώρο μέχρι την είσοδο της βιομηχανίας</w:t>
            </w:r>
          </w:p>
        </w:tc>
        <w:tc>
          <w:tcPr>
            <w:tcW w:w="1134"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tcPr>
          <w:p w:rsidR="00E54474" w:rsidRDefault="00E54474">
            <w:pPr>
              <w:autoSpaceDE w:val="0"/>
              <w:autoSpaceDN w:val="0"/>
              <w:adjustRightInd w:val="0"/>
              <w:spacing w:after="0" w:line="240" w:lineRule="atLeast"/>
              <w:jc w:val="right"/>
              <w:textAlignment w:val="baseline"/>
              <w:rPr>
                <w:sz w:val="21"/>
                <w:szCs w:val="21"/>
                <w:lang w:eastAsia="en-US"/>
              </w:rPr>
            </w:pPr>
          </w:p>
        </w:tc>
        <w:tc>
          <w:tcPr>
            <w:tcW w:w="1134" w:type="dxa"/>
            <w:tcBorders>
              <w:top w:val="single" w:sz="4" w:space="0" w:color="000000"/>
              <w:left w:val="single" w:sz="4" w:space="0" w:color="000000"/>
              <w:bottom w:val="single" w:sz="4" w:space="0" w:color="000000"/>
              <w:right w:val="single" w:sz="4" w:space="0" w:color="000000"/>
            </w:tcBorders>
            <w:hideMark/>
          </w:tcPr>
          <w:p w:rsidR="00E54474" w:rsidRDefault="00E54474">
            <w:pPr>
              <w:autoSpaceDE w:val="0"/>
              <w:autoSpaceDN w:val="0"/>
              <w:adjustRightInd w:val="0"/>
              <w:spacing w:after="0" w:line="240" w:lineRule="atLeast"/>
              <w:jc w:val="right"/>
              <w:textAlignment w:val="baseline"/>
              <w:rPr>
                <w:sz w:val="21"/>
                <w:szCs w:val="21"/>
                <w:lang w:eastAsia="en-US"/>
              </w:rPr>
            </w:pPr>
            <w:r>
              <w:rPr>
                <w:sz w:val="21"/>
                <w:szCs w:val="21"/>
                <w:lang w:eastAsia="en-US"/>
              </w:rPr>
              <w:t>120</w:t>
            </w:r>
          </w:p>
        </w:tc>
      </w:tr>
      <w:tr w:rsidR="00E54474" w:rsidTr="00E54474">
        <w:trPr>
          <w:trHeight w:val="60"/>
        </w:trPr>
        <w:tc>
          <w:tcPr>
            <w:tcW w:w="6947"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tLeast"/>
              <w:ind w:left="283" w:hanging="283"/>
              <w:textAlignment w:val="baseline"/>
              <w:rPr>
                <w:sz w:val="21"/>
                <w:szCs w:val="21"/>
                <w:lang w:eastAsia="en-US"/>
              </w:rPr>
            </w:pPr>
            <w:r>
              <w:rPr>
                <w:sz w:val="21"/>
                <w:szCs w:val="21"/>
                <w:lang w:eastAsia="en-US"/>
              </w:rPr>
              <w:t xml:space="preserve">11. Πληρωμή εργατών για την εκφόρτωση του </w:t>
            </w:r>
            <w:r>
              <w:rPr>
                <w:sz w:val="21"/>
                <w:szCs w:val="21"/>
                <w:lang w:val="en-US" w:eastAsia="en-US"/>
              </w:rPr>
              <w:t>container</w:t>
            </w:r>
            <w:r w:rsidRPr="00E54474">
              <w:rPr>
                <w:sz w:val="21"/>
                <w:szCs w:val="21"/>
                <w:lang w:eastAsia="en-US"/>
              </w:rPr>
              <w:t xml:space="preserve"> </w:t>
            </w:r>
          </w:p>
        </w:tc>
        <w:tc>
          <w:tcPr>
            <w:tcW w:w="1134"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tcPr>
          <w:p w:rsidR="00E54474" w:rsidRDefault="00E54474">
            <w:pPr>
              <w:autoSpaceDE w:val="0"/>
              <w:autoSpaceDN w:val="0"/>
              <w:adjustRightInd w:val="0"/>
              <w:spacing w:after="0" w:line="240" w:lineRule="atLeast"/>
              <w:jc w:val="right"/>
              <w:textAlignment w:val="baseline"/>
              <w:rPr>
                <w:sz w:val="21"/>
                <w:szCs w:val="21"/>
                <w:lang w:eastAsia="en-US"/>
              </w:rPr>
            </w:pPr>
          </w:p>
        </w:tc>
        <w:tc>
          <w:tcPr>
            <w:tcW w:w="1134" w:type="dxa"/>
            <w:tcBorders>
              <w:top w:val="single" w:sz="4" w:space="0" w:color="000000"/>
              <w:left w:val="single" w:sz="4" w:space="0" w:color="000000"/>
              <w:bottom w:val="single" w:sz="4" w:space="0" w:color="000000"/>
              <w:right w:val="single" w:sz="4" w:space="0" w:color="000000"/>
            </w:tcBorders>
            <w:hideMark/>
          </w:tcPr>
          <w:p w:rsidR="00E54474" w:rsidRDefault="00E54474">
            <w:pPr>
              <w:autoSpaceDE w:val="0"/>
              <w:autoSpaceDN w:val="0"/>
              <w:adjustRightInd w:val="0"/>
              <w:spacing w:after="0" w:line="240" w:lineRule="atLeast"/>
              <w:jc w:val="right"/>
              <w:textAlignment w:val="baseline"/>
              <w:rPr>
                <w:sz w:val="21"/>
                <w:szCs w:val="21"/>
                <w:lang w:eastAsia="en-US"/>
              </w:rPr>
            </w:pPr>
            <w:r>
              <w:rPr>
                <w:sz w:val="21"/>
                <w:szCs w:val="21"/>
                <w:lang w:eastAsia="en-US"/>
              </w:rPr>
              <w:t>220</w:t>
            </w:r>
          </w:p>
        </w:tc>
      </w:tr>
      <w:tr w:rsidR="00E54474" w:rsidTr="00E54474">
        <w:trPr>
          <w:trHeight w:val="60"/>
        </w:trPr>
        <w:tc>
          <w:tcPr>
            <w:tcW w:w="6947"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tLeast"/>
              <w:ind w:left="283" w:hanging="283"/>
              <w:textAlignment w:val="baseline"/>
              <w:rPr>
                <w:b/>
                <w:sz w:val="21"/>
                <w:szCs w:val="21"/>
                <w:lang w:eastAsia="en-US"/>
              </w:rPr>
            </w:pPr>
            <w:r>
              <w:rPr>
                <w:b/>
                <w:sz w:val="21"/>
                <w:szCs w:val="21"/>
                <w:lang w:eastAsia="en-US"/>
              </w:rPr>
              <w:t>Σύνολο αρχικού κόστους πρώτης ύλης «Υ»</w:t>
            </w:r>
          </w:p>
        </w:tc>
        <w:tc>
          <w:tcPr>
            <w:tcW w:w="1134"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tcPr>
          <w:p w:rsidR="00E54474" w:rsidRDefault="00E54474">
            <w:pPr>
              <w:autoSpaceDE w:val="0"/>
              <w:autoSpaceDN w:val="0"/>
              <w:adjustRightInd w:val="0"/>
              <w:spacing w:after="0" w:line="240" w:lineRule="atLeast"/>
              <w:jc w:val="right"/>
              <w:textAlignment w:val="baseline"/>
              <w:rPr>
                <w:sz w:val="21"/>
                <w:szCs w:val="21"/>
                <w:lang w:eastAsia="en-US"/>
              </w:rPr>
            </w:pPr>
          </w:p>
        </w:tc>
        <w:tc>
          <w:tcPr>
            <w:tcW w:w="1134" w:type="dxa"/>
            <w:tcBorders>
              <w:top w:val="single" w:sz="4" w:space="0" w:color="000000"/>
              <w:left w:val="single" w:sz="4" w:space="0" w:color="000000"/>
              <w:bottom w:val="single" w:sz="4" w:space="0" w:color="000000"/>
              <w:right w:val="single" w:sz="4" w:space="0" w:color="000000"/>
            </w:tcBorders>
            <w:hideMark/>
          </w:tcPr>
          <w:p w:rsidR="00E54474" w:rsidRDefault="00E54474">
            <w:pPr>
              <w:autoSpaceDE w:val="0"/>
              <w:autoSpaceDN w:val="0"/>
              <w:adjustRightInd w:val="0"/>
              <w:spacing w:after="0" w:line="240" w:lineRule="atLeast"/>
              <w:jc w:val="right"/>
              <w:textAlignment w:val="baseline"/>
              <w:rPr>
                <w:b/>
                <w:sz w:val="21"/>
                <w:szCs w:val="21"/>
                <w:u w:val="double"/>
                <w:lang w:eastAsia="en-US"/>
              </w:rPr>
            </w:pPr>
            <w:r>
              <w:rPr>
                <w:b/>
                <w:sz w:val="21"/>
                <w:szCs w:val="21"/>
                <w:u w:val="double"/>
                <w:lang w:eastAsia="en-US"/>
              </w:rPr>
              <w:t>11.200</w:t>
            </w:r>
          </w:p>
        </w:tc>
      </w:tr>
    </w:tbl>
    <w:p w:rsidR="00297368" w:rsidRDefault="00297368" w:rsidP="00E54474">
      <w:pPr>
        <w:ind w:left="-851"/>
        <w:rPr>
          <w:b/>
        </w:rPr>
      </w:pPr>
    </w:p>
    <w:p w:rsidR="00E54474" w:rsidRDefault="00E54474" w:rsidP="00E54474">
      <w:pPr>
        <w:ind w:left="-851"/>
        <w:rPr>
          <w:b/>
        </w:rPr>
      </w:pPr>
      <w:r>
        <w:rPr>
          <w:b/>
        </w:rPr>
        <w:t xml:space="preserve">1β. Δαπάνες που συνθέτουν το κόστος παραγωγής του ετοίμου προϊόντος «Π»: </w:t>
      </w:r>
    </w:p>
    <w:p w:rsidR="00E54474" w:rsidRDefault="00E54474" w:rsidP="00E54474">
      <w:pPr>
        <w:ind w:left="-851"/>
        <w:rPr>
          <w:sz w:val="21"/>
          <w:szCs w:val="21"/>
        </w:rPr>
      </w:pPr>
      <w:r>
        <w:rPr>
          <w:b/>
          <w:sz w:val="21"/>
          <w:szCs w:val="21"/>
        </w:rPr>
        <w:t xml:space="preserve">    </w:t>
      </w:r>
      <w:r>
        <w:rPr>
          <w:sz w:val="21"/>
          <w:szCs w:val="21"/>
        </w:rPr>
        <w:t>Το κόστος παραγωγής του προϊόντος συντίθεται από το κόστος των πρώτων υλών, βοηθητικών υλών και υλικών συσκευασίας (</w:t>
      </w:r>
      <w:r>
        <w:rPr>
          <w:sz w:val="21"/>
          <w:szCs w:val="21"/>
          <w:lang w:val="en-US"/>
        </w:rPr>
        <w:t>direct</w:t>
      </w:r>
      <w:r w:rsidRPr="00E54474">
        <w:rPr>
          <w:sz w:val="21"/>
          <w:szCs w:val="21"/>
        </w:rPr>
        <w:t xml:space="preserve"> </w:t>
      </w:r>
      <w:r>
        <w:rPr>
          <w:sz w:val="21"/>
          <w:szCs w:val="21"/>
          <w:lang w:val="en-US"/>
        </w:rPr>
        <w:t>material</w:t>
      </w:r>
      <w:r>
        <w:rPr>
          <w:sz w:val="21"/>
          <w:szCs w:val="21"/>
        </w:rPr>
        <w:t>) πλέον το κόστος μετατροπής των υλικών (</w:t>
      </w:r>
      <w:r>
        <w:rPr>
          <w:sz w:val="21"/>
          <w:szCs w:val="21"/>
          <w:lang w:val="en-US"/>
        </w:rPr>
        <w:t>direct</w:t>
      </w:r>
      <w:r w:rsidRPr="00E54474">
        <w:rPr>
          <w:sz w:val="21"/>
          <w:szCs w:val="21"/>
        </w:rPr>
        <w:t xml:space="preserve"> </w:t>
      </w:r>
      <w:r>
        <w:rPr>
          <w:sz w:val="21"/>
          <w:szCs w:val="21"/>
          <w:lang w:val="en-US"/>
        </w:rPr>
        <w:t>labour</w:t>
      </w:r>
      <w:r w:rsidRPr="00E54474">
        <w:rPr>
          <w:sz w:val="21"/>
          <w:szCs w:val="21"/>
        </w:rPr>
        <w:t xml:space="preserve"> </w:t>
      </w:r>
      <w:r>
        <w:rPr>
          <w:sz w:val="21"/>
          <w:szCs w:val="21"/>
          <w:lang w:val="en-US"/>
        </w:rPr>
        <w:t>plus</w:t>
      </w:r>
      <w:r w:rsidRPr="00E54474">
        <w:rPr>
          <w:sz w:val="21"/>
          <w:szCs w:val="21"/>
        </w:rPr>
        <w:t xml:space="preserve"> </w:t>
      </w:r>
      <w:r>
        <w:rPr>
          <w:sz w:val="21"/>
          <w:szCs w:val="21"/>
          <w:lang w:val="en-US"/>
        </w:rPr>
        <w:t>factory</w:t>
      </w:r>
      <w:r w:rsidRPr="00E54474">
        <w:rPr>
          <w:sz w:val="21"/>
          <w:szCs w:val="21"/>
        </w:rPr>
        <w:t xml:space="preserve"> </w:t>
      </w:r>
      <w:r>
        <w:rPr>
          <w:sz w:val="21"/>
          <w:szCs w:val="21"/>
          <w:lang w:val="en-US"/>
        </w:rPr>
        <w:t>overhead</w:t>
      </w:r>
      <w:r>
        <w:rPr>
          <w:sz w:val="21"/>
          <w:szCs w:val="21"/>
        </w:rPr>
        <w:t xml:space="preserve">). Το κόστος μετατροπής περιλαμβάνει όλα τα άμεσα έξοδα (π.χ. εργατικά που σχετίζονται με τις παραγόμενες μονάδες), καθώς και μια συστηματική κατανομή των σταθερών και μεταβλητών εξόδων παραγωγής, προκειμένου οι πρώτες ύλες να μετατραπούν σε έτοιμα προϊόντα. </w:t>
      </w:r>
      <w:r>
        <w:rPr>
          <w:bCs/>
          <w:sz w:val="21"/>
          <w:szCs w:val="21"/>
        </w:rPr>
        <w:t>Η απαίτηση για εύλογη και συστηματική κατανομή συνεπάγεται ότι το σταθερό κόστος που αναλογεί σε μειωμένη παραγωγή (κόστος αδράνειας ή κόστος υποαπασχόλησης) αναγνωρίζεται κατευθείαν στην κατάσταση αποτελεσμάτων.   Επιπρόσθετα,</w:t>
      </w:r>
      <w:r>
        <w:rPr>
          <w:sz w:val="21"/>
          <w:szCs w:val="21"/>
        </w:rPr>
        <w:t xml:space="preserve"> όταν απαιτείται σημαντική περίοδος χρόνου για να καταστούν τα αποθέματα έτοιμα για την προοριζόμενη χρήση ή πώλησή τους, το κόστος των αποθεμάτων </w:t>
      </w:r>
      <w:r>
        <w:rPr>
          <w:b/>
          <w:sz w:val="21"/>
          <w:szCs w:val="21"/>
        </w:rPr>
        <w:t>μπορεί</w:t>
      </w:r>
      <w:r>
        <w:rPr>
          <w:sz w:val="21"/>
          <w:szCs w:val="21"/>
        </w:rPr>
        <w:t xml:space="preserve"> να επιβαρύνεται </w:t>
      </w:r>
      <w:r>
        <w:rPr>
          <w:bCs/>
          <w:sz w:val="21"/>
          <w:szCs w:val="21"/>
        </w:rPr>
        <w:t>με</w:t>
      </w:r>
      <w:r>
        <w:rPr>
          <w:sz w:val="21"/>
          <w:szCs w:val="21"/>
        </w:rPr>
        <w:t xml:space="preserve"> τόκους εντόκων υποχρεώσεων, κατά το μέρος που οι τόκοι αυτοί αναλογούν στα εν λόγω αποθέματα και για την προαναφερθείσα περίοδο.</w:t>
      </w:r>
      <w:r>
        <w:rPr>
          <w:bCs/>
          <w:sz w:val="21"/>
          <w:szCs w:val="21"/>
        </w:rPr>
        <w:t xml:space="preserve"> Με βάση τα ανωτέρω, ο σχετικός πίνακας των δαπανών που συνθέτουν το κόστος παραγωγής του ετοίμου προϊόντος «Π», έχει ως εξής:</w:t>
      </w:r>
    </w:p>
    <w:tbl>
      <w:tblPr>
        <w:tblW w:w="9210" w:type="dxa"/>
        <w:tblInd w:w="-794" w:type="dxa"/>
        <w:tblLayout w:type="fixed"/>
        <w:tblCellMar>
          <w:left w:w="0" w:type="dxa"/>
          <w:right w:w="0" w:type="dxa"/>
        </w:tblCellMar>
        <w:tblLook w:val="04A0" w:firstRow="1" w:lastRow="0" w:firstColumn="1" w:lastColumn="0" w:noHBand="0" w:noVBand="1"/>
      </w:tblPr>
      <w:tblGrid>
        <w:gridCol w:w="6944"/>
        <w:gridCol w:w="1133"/>
        <w:gridCol w:w="1133"/>
      </w:tblGrid>
      <w:tr w:rsidR="00E54474" w:rsidTr="00E54474">
        <w:trPr>
          <w:trHeight w:val="60"/>
        </w:trPr>
        <w:tc>
          <w:tcPr>
            <w:tcW w:w="6947"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tcPr>
          <w:p w:rsidR="00E54474" w:rsidRDefault="00E54474">
            <w:pPr>
              <w:autoSpaceDE w:val="0"/>
              <w:autoSpaceDN w:val="0"/>
              <w:adjustRightInd w:val="0"/>
              <w:spacing w:after="0" w:line="240" w:lineRule="atLeast"/>
              <w:ind w:left="283" w:hanging="283"/>
              <w:textAlignment w:val="baseline"/>
              <w:rPr>
                <w:sz w:val="21"/>
                <w:szCs w:val="21"/>
                <w:lang w:eastAsia="en-US"/>
              </w:rPr>
            </w:pPr>
          </w:p>
        </w:tc>
        <w:tc>
          <w:tcPr>
            <w:tcW w:w="1134"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tLeast"/>
              <w:jc w:val="center"/>
              <w:textAlignment w:val="baseline"/>
              <w:rPr>
                <w:b/>
                <w:sz w:val="21"/>
                <w:szCs w:val="21"/>
                <w:lang w:val="en-US" w:eastAsia="en-US"/>
              </w:rPr>
            </w:pPr>
            <w:r>
              <w:rPr>
                <w:b/>
                <w:sz w:val="21"/>
                <w:szCs w:val="21"/>
                <w:lang w:val="en-US" w:eastAsia="en-US"/>
              </w:rPr>
              <w:t>US$</w:t>
            </w:r>
          </w:p>
        </w:tc>
        <w:tc>
          <w:tcPr>
            <w:tcW w:w="1134" w:type="dxa"/>
            <w:tcBorders>
              <w:top w:val="single" w:sz="4" w:space="0" w:color="000000"/>
              <w:left w:val="single" w:sz="4" w:space="0" w:color="000000"/>
              <w:bottom w:val="single" w:sz="4" w:space="0" w:color="000000"/>
              <w:right w:val="single" w:sz="4" w:space="0" w:color="000000"/>
            </w:tcBorders>
            <w:hideMark/>
          </w:tcPr>
          <w:p w:rsidR="00E54474" w:rsidRDefault="00E54474">
            <w:pPr>
              <w:autoSpaceDE w:val="0"/>
              <w:autoSpaceDN w:val="0"/>
              <w:adjustRightInd w:val="0"/>
              <w:spacing w:after="0" w:line="240" w:lineRule="atLeast"/>
              <w:jc w:val="center"/>
              <w:textAlignment w:val="baseline"/>
              <w:rPr>
                <w:b/>
                <w:sz w:val="21"/>
                <w:szCs w:val="21"/>
                <w:lang w:val="en-US" w:eastAsia="en-US"/>
              </w:rPr>
            </w:pPr>
            <w:r>
              <w:rPr>
                <w:b/>
                <w:sz w:val="21"/>
                <w:szCs w:val="21"/>
                <w:lang w:val="en-US" w:eastAsia="en-US"/>
              </w:rPr>
              <w:t>EURO</w:t>
            </w:r>
          </w:p>
        </w:tc>
      </w:tr>
      <w:tr w:rsidR="00E54474" w:rsidTr="00E54474">
        <w:trPr>
          <w:trHeight w:val="60"/>
        </w:trPr>
        <w:tc>
          <w:tcPr>
            <w:tcW w:w="6947"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tLeast"/>
              <w:ind w:left="283" w:hanging="283"/>
              <w:textAlignment w:val="baseline"/>
              <w:rPr>
                <w:sz w:val="21"/>
                <w:szCs w:val="21"/>
                <w:lang w:eastAsia="en-US"/>
              </w:rPr>
            </w:pPr>
            <w:r>
              <w:rPr>
                <w:sz w:val="21"/>
                <w:szCs w:val="21"/>
                <w:lang w:eastAsia="en-US"/>
              </w:rPr>
              <w:t>1.</w:t>
            </w:r>
            <w:r>
              <w:rPr>
                <w:sz w:val="21"/>
                <w:szCs w:val="21"/>
                <w:lang w:eastAsia="en-US"/>
              </w:rPr>
              <w:tab/>
              <w:t xml:space="preserve"> Έμμεσο κόστος παραγωγής (σταθερό και μεταβλητό) του προϊόντος «Π»</w:t>
            </w:r>
          </w:p>
          <w:p w:rsidR="00E54474" w:rsidRDefault="00E54474">
            <w:pPr>
              <w:autoSpaceDE w:val="0"/>
              <w:autoSpaceDN w:val="0"/>
              <w:adjustRightInd w:val="0"/>
              <w:spacing w:after="0" w:line="240" w:lineRule="atLeast"/>
              <w:ind w:left="283" w:hanging="283"/>
              <w:textAlignment w:val="baseline"/>
              <w:rPr>
                <w:sz w:val="21"/>
                <w:szCs w:val="21"/>
                <w:lang w:eastAsia="en-US"/>
              </w:rPr>
            </w:pPr>
            <w:r>
              <w:rPr>
                <w:sz w:val="21"/>
                <w:szCs w:val="21"/>
                <w:lang w:eastAsia="en-US"/>
              </w:rPr>
              <w:t xml:space="preserve">€300, από το οποίο €40 αφορά </w:t>
            </w:r>
            <w:r>
              <w:rPr>
                <w:bCs/>
                <w:sz w:val="21"/>
                <w:szCs w:val="21"/>
                <w:lang w:eastAsia="en-US"/>
              </w:rPr>
              <w:t xml:space="preserve">κόστος υποαπασχόλησης </w:t>
            </w:r>
          </w:p>
        </w:tc>
        <w:tc>
          <w:tcPr>
            <w:tcW w:w="1134"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tcPr>
          <w:p w:rsidR="00E54474" w:rsidRDefault="00E54474">
            <w:pPr>
              <w:autoSpaceDE w:val="0"/>
              <w:autoSpaceDN w:val="0"/>
              <w:adjustRightInd w:val="0"/>
              <w:spacing w:after="0" w:line="240" w:lineRule="atLeast"/>
              <w:jc w:val="right"/>
              <w:textAlignment w:val="baseline"/>
              <w:rPr>
                <w:sz w:val="21"/>
                <w:szCs w:val="21"/>
                <w:lang w:eastAsia="en-US"/>
              </w:rPr>
            </w:pPr>
          </w:p>
        </w:tc>
        <w:tc>
          <w:tcPr>
            <w:tcW w:w="1134" w:type="dxa"/>
            <w:tcBorders>
              <w:top w:val="single" w:sz="4" w:space="0" w:color="000000"/>
              <w:left w:val="single" w:sz="4" w:space="0" w:color="000000"/>
              <w:bottom w:val="single" w:sz="4" w:space="0" w:color="000000"/>
              <w:right w:val="single" w:sz="4" w:space="0" w:color="000000"/>
            </w:tcBorders>
            <w:hideMark/>
          </w:tcPr>
          <w:p w:rsidR="00E54474" w:rsidRDefault="00E54474">
            <w:pPr>
              <w:autoSpaceDE w:val="0"/>
              <w:autoSpaceDN w:val="0"/>
              <w:adjustRightInd w:val="0"/>
              <w:spacing w:after="0" w:line="240" w:lineRule="atLeast"/>
              <w:jc w:val="right"/>
              <w:textAlignment w:val="baseline"/>
              <w:rPr>
                <w:sz w:val="21"/>
                <w:szCs w:val="21"/>
                <w:lang w:eastAsia="en-US"/>
              </w:rPr>
            </w:pPr>
            <w:r>
              <w:rPr>
                <w:sz w:val="21"/>
                <w:szCs w:val="21"/>
                <w:lang w:eastAsia="en-US"/>
              </w:rPr>
              <w:t>260</w:t>
            </w:r>
          </w:p>
        </w:tc>
      </w:tr>
      <w:tr w:rsidR="00E54474" w:rsidTr="00E54474">
        <w:trPr>
          <w:trHeight w:val="60"/>
        </w:trPr>
        <w:tc>
          <w:tcPr>
            <w:tcW w:w="6947"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uto"/>
              <w:rPr>
                <w:sz w:val="21"/>
                <w:szCs w:val="21"/>
                <w:lang w:eastAsia="en-US"/>
              </w:rPr>
            </w:pPr>
            <w:r>
              <w:rPr>
                <w:sz w:val="21"/>
                <w:szCs w:val="21"/>
                <w:lang w:eastAsia="en-US"/>
              </w:rPr>
              <w:t xml:space="preserve">2. Αναλογία αμοιβών προσωπικού του τμήματος παραγωγής που κατανέμεται στο προϊόν «Π» </w:t>
            </w:r>
          </w:p>
        </w:tc>
        <w:tc>
          <w:tcPr>
            <w:tcW w:w="1134"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tcPr>
          <w:p w:rsidR="00E54474" w:rsidRDefault="00E54474">
            <w:pPr>
              <w:autoSpaceDE w:val="0"/>
              <w:autoSpaceDN w:val="0"/>
              <w:adjustRightInd w:val="0"/>
              <w:spacing w:after="0" w:line="240" w:lineRule="atLeast"/>
              <w:jc w:val="right"/>
              <w:textAlignment w:val="baseline"/>
              <w:rPr>
                <w:sz w:val="21"/>
                <w:szCs w:val="21"/>
                <w:lang w:eastAsia="en-US"/>
              </w:rPr>
            </w:pPr>
          </w:p>
        </w:tc>
        <w:tc>
          <w:tcPr>
            <w:tcW w:w="1134" w:type="dxa"/>
            <w:tcBorders>
              <w:top w:val="single" w:sz="4" w:space="0" w:color="000000"/>
              <w:left w:val="single" w:sz="4" w:space="0" w:color="000000"/>
              <w:bottom w:val="single" w:sz="4" w:space="0" w:color="000000"/>
              <w:right w:val="single" w:sz="4" w:space="0" w:color="000000"/>
            </w:tcBorders>
            <w:hideMark/>
          </w:tcPr>
          <w:p w:rsidR="00E54474" w:rsidRDefault="00E54474">
            <w:pPr>
              <w:autoSpaceDE w:val="0"/>
              <w:autoSpaceDN w:val="0"/>
              <w:adjustRightInd w:val="0"/>
              <w:spacing w:after="0" w:line="240" w:lineRule="atLeast"/>
              <w:jc w:val="right"/>
              <w:textAlignment w:val="baseline"/>
              <w:rPr>
                <w:sz w:val="21"/>
                <w:szCs w:val="21"/>
                <w:lang w:eastAsia="en-US"/>
              </w:rPr>
            </w:pPr>
            <w:r>
              <w:rPr>
                <w:sz w:val="21"/>
                <w:szCs w:val="21"/>
                <w:lang w:eastAsia="en-US"/>
              </w:rPr>
              <w:t>800</w:t>
            </w:r>
          </w:p>
        </w:tc>
      </w:tr>
      <w:tr w:rsidR="00E54474" w:rsidTr="00E54474">
        <w:trPr>
          <w:trHeight w:val="60"/>
        </w:trPr>
        <w:tc>
          <w:tcPr>
            <w:tcW w:w="6947"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uto"/>
              <w:rPr>
                <w:sz w:val="21"/>
                <w:szCs w:val="21"/>
                <w:lang w:eastAsia="en-US"/>
              </w:rPr>
            </w:pPr>
            <w:r>
              <w:rPr>
                <w:sz w:val="21"/>
                <w:szCs w:val="21"/>
                <w:lang w:eastAsia="en-US"/>
              </w:rPr>
              <w:t xml:space="preserve">3. Τόκοι γενικού δανεισμού της οντότητας €3.000 εκ των οποίων €170 αφορούν την παραγωγή του ετοίμου προϊόντος </w:t>
            </w:r>
          </w:p>
        </w:tc>
        <w:tc>
          <w:tcPr>
            <w:tcW w:w="1134"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tcPr>
          <w:p w:rsidR="00E54474" w:rsidRDefault="00E54474">
            <w:pPr>
              <w:autoSpaceDE w:val="0"/>
              <w:autoSpaceDN w:val="0"/>
              <w:adjustRightInd w:val="0"/>
              <w:spacing w:after="0" w:line="240" w:lineRule="atLeast"/>
              <w:jc w:val="right"/>
              <w:textAlignment w:val="baseline"/>
              <w:rPr>
                <w:sz w:val="21"/>
                <w:szCs w:val="21"/>
                <w:lang w:eastAsia="en-US"/>
              </w:rPr>
            </w:pPr>
          </w:p>
        </w:tc>
        <w:tc>
          <w:tcPr>
            <w:tcW w:w="1134" w:type="dxa"/>
            <w:tcBorders>
              <w:top w:val="single" w:sz="4" w:space="0" w:color="000000"/>
              <w:left w:val="single" w:sz="4" w:space="0" w:color="000000"/>
              <w:bottom w:val="single" w:sz="4" w:space="0" w:color="000000"/>
              <w:right w:val="single" w:sz="4" w:space="0" w:color="000000"/>
            </w:tcBorders>
            <w:hideMark/>
          </w:tcPr>
          <w:p w:rsidR="00E54474" w:rsidRDefault="00E54474">
            <w:pPr>
              <w:autoSpaceDE w:val="0"/>
              <w:autoSpaceDN w:val="0"/>
              <w:adjustRightInd w:val="0"/>
              <w:spacing w:after="0" w:line="240" w:lineRule="atLeast"/>
              <w:jc w:val="right"/>
              <w:textAlignment w:val="baseline"/>
              <w:rPr>
                <w:sz w:val="21"/>
                <w:szCs w:val="21"/>
                <w:lang w:eastAsia="en-US"/>
              </w:rPr>
            </w:pPr>
            <w:r>
              <w:rPr>
                <w:sz w:val="21"/>
                <w:szCs w:val="21"/>
                <w:lang w:eastAsia="en-US"/>
              </w:rPr>
              <w:t>170</w:t>
            </w:r>
          </w:p>
        </w:tc>
      </w:tr>
      <w:tr w:rsidR="00E54474" w:rsidTr="00E54474">
        <w:trPr>
          <w:trHeight w:val="60"/>
        </w:trPr>
        <w:tc>
          <w:tcPr>
            <w:tcW w:w="6947"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tLeast"/>
              <w:ind w:left="283" w:hanging="283"/>
              <w:textAlignment w:val="baseline"/>
              <w:rPr>
                <w:sz w:val="21"/>
                <w:szCs w:val="21"/>
                <w:lang w:eastAsia="en-US"/>
              </w:rPr>
            </w:pPr>
            <w:r>
              <w:rPr>
                <w:sz w:val="21"/>
                <w:szCs w:val="21"/>
                <w:lang w:eastAsia="en-US"/>
              </w:rPr>
              <w:t>4. Συνολικό κόστος πρώτης ύλης «Υ»</w:t>
            </w:r>
          </w:p>
        </w:tc>
        <w:tc>
          <w:tcPr>
            <w:tcW w:w="1134"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tcPr>
          <w:p w:rsidR="00E54474" w:rsidRDefault="00E54474">
            <w:pPr>
              <w:autoSpaceDE w:val="0"/>
              <w:autoSpaceDN w:val="0"/>
              <w:adjustRightInd w:val="0"/>
              <w:spacing w:after="0" w:line="240" w:lineRule="atLeast"/>
              <w:jc w:val="right"/>
              <w:textAlignment w:val="baseline"/>
              <w:rPr>
                <w:sz w:val="21"/>
                <w:szCs w:val="21"/>
                <w:lang w:eastAsia="en-US"/>
              </w:rPr>
            </w:pPr>
          </w:p>
        </w:tc>
        <w:tc>
          <w:tcPr>
            <w:tcW w:w="1134" w:type="dxa"/>
            <w:tcBorders>
              <w:top w:val="single" w:sz="4" w:space="0" w:color="000000"/>
              <w:left w:val="single" w:sz="4" w:space="0" w:color="000000"/>
              <w:bottom w:val="single" w:sz="4" w:space="0" w:color="000000"/>
              <w:right w:val="single" w:sz="4" w:space="0" w:color="000000"/>
            </w:tcBorders>
            <w:hideMark/>
          </w:tcPr>
          <w:p w:rsidR="00E54474" w:rsidRDefault="00E54474">
            <w:pPr>
              <w:autoSpaceDE w:val="0"/>
              <w:autoSpaceDN w:val="0"/>
              <w:adjustRightInd w:val="0"/>
              <w:spacing w:after="0" w:line="240" w:lineRule="atLeast"/>
              <w:jc w:val="right"/>
              <w:textAlignment w:val="baseline"/>
              <w:rPr>
                <w:sz w:val="21"/>
                <w:szCs w:val="21"/>
                <w:lang w:eastAsia="en-US"/>
              </w:rPr>
            </w:pPr>
            <w:r>
              <w:rPr>
                <w:sz w:val="21"/>
                <w:szCs w:val="21"/>
                <w:lang w:eastAsia="en-US"/>
              </w:rPr>
              <w:t>11.200</w:t>
            </w:r>
          </w:p>
        </w:tc>
      </w:tr>
      <w:tr w:rsidR="00E54474" w:rsidTr="00E54474">
        <w:trPr>
          <w:trHeight w:val="60"/>
        </w:trPr>
        <w:tc>
          <w:tcPr>
            <w:tcW w:w="6947"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tLeast"/>
              <w:ind w:left="283" w:hanging="283"/>
              <w:textAlignment w:val="baseline"/>
              <w:rPr>
                <w:b/>
                <w:sz w:val="21"/>
                <w:szCs w:val="21"/>
                <w:lang w:eastAsia="en-US"/>
              </w:rPr>
            </w:pPr>
            <w:r>
              <w:rPr>
                <w:b/>
                <w:sz w:val="21"/>
                <w:szCs w:val="21"/>
                <w:lang w:eastAsia="en-US"/>
              </w:rPr>
              <w:t>Συνολικό κόστος έτοιμου προϊόντος «Π»</w:t>
            </w:r>
          </w:p>
        </w:tc>
        <w:tc>
          <w:tcPr>
            <w:tcW w:w="1134"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tcPr>
          <w:p w:rsidR="00E54474" w:rsidRDefault="00E54474">
            <w:pPr>
              <w:autoSpaceDE w:val="0"/>
              <w:autoSpaceDN w:val="0"/>
              <w:adjustRightInd w:val="0"/>
              <w:spacing w:after="0" w:line="240" w:lineRule="atLeast"/>
              <w:jc w:val="right"/>
              <w:textAlignment w:val="baseline"/>
              <w:rPr>
                <w:b/>
                <w:sz w:val="21"/>
                <w:szCs w:val="21"/>
                <w:lang w:eastAsia="en-US"/>
              </w:rPr>
            </w:pPr>
          </w:p>
        </w:tc>
        <w:tc>
          <w:tcPr>
            <w:tcW w:w="1134" w:type="dxa"/>
            <w:tcBorders>
              <w:top w:val="single" w:sz="4" w:space="0" w:color="000000"/>
              <w:left w:val="single" w:sz="4" w:space="0" w:color="000000"/>
              <w:bottom w:val="single" w:sz="4" w:space="0" w:color="000000"/>
              <w:right w:val="single" w:sz="4" w:space="0" w:color="000000"/>
            </w:tcBorders>
            <w:hideMark/>
          </w:tcPr>
          <w:p w:rsidR="00E54474" w:rsidRDefault="00E54474">
            <w:pPr>
              <w:autoSpaceDE w:val="0"/>
              <w:autoSpaceDN w:val="0"/>
              <w:adjustRightInd w:val="0"/>
              <w:spacing w:after="0" w:line="240" w:lineRule="atLeast"/>
              <w:jc w:val="right"/>
              <w:textAlignment w:val="baseline"/>
              <w:rPr>
                <w:b/>
                <w:sz w:val="21"/>
                <w:szCs w:val="21"/>
                <w:u w:val="double"/>
                <w:lang w:eastAsia="en-US"/>
              </w:rPr>
            </w:pPr>
            <w:r>
              <w:rPr>
                <w:b/>
                <w:sz w:val="21"/>
                <w:szCs w:val="21"/>
                <w:u w:val="double"/>
                <w:lang w:eastAsia="en-US"/>
              </w:rPr>
              <w:t>12.430</w:t>
            </w:r>
          </w:p>
        </w:tc>
      </w:tr>
    </w:tbl>
    <w:p w:rsidR="00E54474" w:rsidRDefault="00E54474" w:rsidP="00E54474">
      <w:pPr>
        <w:ind w:left="-851"/>
        <w:rPr>
          <w:sz w:val="21"/>
          <w:szCs w:val="21"/>
        </w:rPr>
      </w:pPr>
      <w:r>
        <w:rPr>
          <w:sz w:val="21"/>
          <w:szCs w:val="21"/>
        </w:rPr>
        <w:t xml:space="preserve"> </w:t>
      </w:r>
    </w:p>
    <w:p w:rsidR="00E54474" w:rsidRDefault="00E54474" w:rsidP="00E54474">
      <w:pPr>
        <w:ind w:left="-851"/>
        <w:rPr>
          <w:b/>
        </w:rPr>
      </w:pPr>
      <w:r>
        <w:rPr>
          <w:b/>
        </w:rPr>
        <w:t>1γ. Δαπάνες που πρέπει να μεταφερθούν στους οικείους λογαριασμούς των εξόδων:</w:t>
      </w:r>
    </w:p>
    <w:tbl>
      <w:tblPr>
        <w:tblW w:w="9210" w:type="dxa"/>
        <w:tblInd w:w="-794" w:type="dxa"/>
        <w:tblLayout w:type="fixed"/>
        <w:tblCellMar>
          <w:left w:w="0" w:type="dxa"/>
          <w:right w:w="0" w:type="dxa"/>
        </w:tblCellMar>
        <w:tblLook w:val="04A0" w:firstRow="1" w:lastRow="0" w:firstColumn="1" w:lastColumn="0" w:noHBand="0" w:noVBand="1"/>
      </w:tblPr>
      <w:tblGrid>
        <w:gridCol w:w="6944"/>
        <w:gridCol w:w="1133"/>
        <w:gridCol w:w="1133"/>
      </w:tblGrid>
      <w:tr w:rsidR="00E54474" w:rsidTr="00E54474">
        <w:trPr>
          <w:trHeight w:val="60"/>
        </w:trPr>
        <w:tc>
          <w:tcPr>
            <w:tcW w:w="6947" w:type="dxa"/>
            <w:tcBorders>
              <w:top w:val="single" w:sz="4" w:space="0" w:color="auto"/>
              <w:left w:val="single" w:sz="4" w:space="0" w:color="000000"/>
              <w:bottom w:val="single" w:sz="4" w:space="0" w:color="000000"/>
              <w:right w:val="single" w:sz="4" w:space="0" w:color="000000"/>
            </w:tcBorders>
            <w:tcMar>
              <w:top w:w="79" w:type="dxa"/>
              <w:left w:w="57" w:type="dxa"/>
              <w:bottom w:w="79" w:type="dxa"/>
              <w:right w:w="57" w:type="dxa"/>
            </w:tcMar>
          </w:tcPr>
          <w:p w:rsidR="00E54474" w:rsidRDefault="00E54474">
            <w:pPr>
              <w:autoSpaceDE w:val="0"/>
              <w:autoSpaceDN w:val="0"/>
              <w:adjustRightInd w:val="0"/>
              <w:spacing w:after="0" w:line="240" w:lineRule="atLeast"/>
              <w:ind w:left="283" w:hanging="283"/>
              <w:textAlignment w:val="baseline"/>
              <w:rPr>
                <w:b/>
                <w:sz w:val="21"/>
                <w:szCs w:val="21"/>
                <w:lang w:eastAsia="en-US"/>
              </w:rPr>
            </w:pPr>
          </w:p>
        </w:tc>
        <w:tc>
          <w:tcPr>
            <w:tcW w:w="1134" w:type="dxa"/>
            <w:tcBorders>
              <w:top w:val="single" w:sz="4" w:space="0" w:color="auto"/>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tLeast"/>
              <w:jc w:val="center"/>
              <w:textAlignment w:val="baseline"/>
              <w:rPr>
                <w:b/>
                <w:sz w:val="21"/>
                <w:szCs w:val="21"/>
                <w:lang w:eastAsia="en-US"/>
              </w:rPr>
            </w:pPr>
            <w:r>
              <w:rPr>
                <w:b/>
                <w:sz w:val="21"/>
                <w:szCs w:val="21"/>
                <w:lang w:val="en-US" w:eastAsia="en-US"/>
              </w:rPr>
              <w:t>US</w:t>
            </w:r>
            <w:r>
              <w:rPr>
                <w:b/>
                <w:sz w:val="21"/>
                <w:szCs w:val="21"/>
                <w:lang w:eastAsia="en-US"/>
              </w:rPr>
              <w:t>$</w:t>
            </w:r>
          </w:p>
        </w:tc>
        <w:tc>
          <w:tcPr>
            <w:tcW w:w="1134" w:type="dxa"/>
            <w:tcBorders>
              <w:top w:val="single" w:sz="4" w:space="0" w:color="auto"/>
              <w:left w:val="single" w:sz="4" w:space="0" w:color="000000"/>
              <w:bottom w:val="single" w:sz="4" w:space="0" w:color="000000"/>
              <w:right w:val="single" w:sz="4" w:space="0" w:color="000000"/>
            </w:tcBorders>
            <w:hideMark/>
          </w:tcPr>
          <w:p w:rsidR="00E54474" w:rsidRDefault="00E54474">
            <w:pPr>
              <w:autoSpaceDE w:val="0"/>
              <w:autoSpaceDN w:val="0"/>
              <w:adjustRightInd w:val="0"/>
              <w:spacing w:after="0" w:line="240" w:lineRule="atLeast"/>
              <w:jc w:val="center"/>
              <w:textAlignment w:val="baseline"/>
              <w:rPr>
                <w:b/>
                <w:sz w:val="21"/>
                <w:szCs w:val="21"/>
                <w:lang w:eastAsia="en-US"/>
              </w:rPr>
            </w:pPr>
            <w:r>
              <w:rPr>
                <w:b/>
                <w:sz w:val="21"/>
                <w:szCs w:val="21"/>
                <w:lang w:val="en-US" w:eastAsia="en-US"/>
              </w:rPr>
              <w:t>EURO</w:t>
            </w:r>
          </w:p>
        </w:tc>
      </w:tr>
      <w:tr w:rsidR="00E54474" w:rsidTr="00E54474">
        <w:trPr>
          <w:trHeight w:val="60"/>
        </w:trPr>
        <w:tc>
          <w:tcPr>
            <w:tcW w:w="6947"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tLeast"/>
              <w:ind w:left="283" w:hanging="283"/>
              <w:textAlignment w:val="baseline"/>
              <w:rPr>
                <w:sz w:val="21"/>
                <w:szCs w:val="21"/>
                <w:lang w:eastAsia="en-US"/>
              </w:rPr>
            </w:pPr>
            <w:r>
              <w:rPr>
                <w:sz w:val="21"/>
                <w:szCs w:val="21"/>
                <w:lang w:eastAsia="en-US"/>
              </w:rPr>
              <w:t>1.</w:t>
            </w:r>
            <w:r>
              <w:rPr>
                <w:sz w:val="21"/>
                <w:szCs w:val="21"/>
                <w:lang w:eastAsia="en-US"/>
              </w:rPr>
              <w:tab/>
              <w:t xml:space="preserve">Αμοιβή και έξοδα τραπέζης για το διακανονισμό </w:t>
            </w:r>
          </w:p>
        </w:tc>
        <w:tc>
          <w:tcPr>
            <w:tcW w:w="1134"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tcPr>
          <w:p w:rsidR="00E54474" w:rsidRDefault="00E54474">
            <w:pPr>
              <w:autoSpaceDE w:val="0"/>
              <w:autoSpaceDN w:val="0"/>
              <w:adjustRightInd w:val="0"/>
              <w:spacing w:after="0" w:line="240" w:lineRule="auto"/>
              <w:jc w:val="right"/>
              <w:rPr>
                <w:sz w:val="21"/>
                <w:szCs w:val="21"/>
                <w:lang w:eastAsia="en-US"/>
              </w:rPr>
            </w:pPr>
          </w:p>
        </w:tc>
        <w:tc>
          <w:tcPr>
            <w:tcW w:w="1134" w:type="dxa"/>
            <w:tcBorders>
              <w:top w:val="single" w:sz="4" w:space="0" w:color="000000"/>
              <w:left w:val="single" w:sz="4" w:space="0" w:color="000000"/>
              <w:bottom w:val="single" w:sz="4" w:space="0" w:color="000000"/>
              <w:right w:val="single" w:sz="4" w:space="0" w:color="000000"/>
            </w:tcBorders>
            <w:hideMark/>
          </w:tcPr>
          <w:p w:rsidR="00E54474" w:rsidRDefault="00E54474">
            <w:pPr>
              <w:autoSpaceDE w:val="0"/>
              <w:autoSpaceDN w:val="0"/>
              <w:adjustRightInd w:val="0"/>
              <w:spacing w:after="0" w:line="240" w:lineRule="auto"/>
              <w:jc w:val="right"/>
              <w:rPr>
                <w:sz w:val="21"/>
                <w:szCs w:val="21"/>
                <w:lang w:eastAsia="en-US"/>
              </w:rPr>
            </w:pPr>
            <w:r>
              <w:rPr>
                <w:sz w:val="21"/>
                <w:szCs w:val="21"/>
                <w:lang w:eastAsia="en-US"/>
              </w:rPr>
              <w:t>200</w:t>
            </w:r>
          </w:p>
        </w:tc>
      </w:tr>
      <w:tr w:rsidR="00E54474" w:rsidTr="00E54474">
        <w:trPr>
          <w:trHeight w:val="60"/>
        </w:trPr>
        <w:tc>
          <w:tcPr>
            <w:tcW w:w="6947"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hideMark/>
          </w:tcPr>
          <w:p w:rsidR="00186478" w:rsidRDefault="00186478" w:rsidP="00186478">
            <w:pPr>
              <w:autoSpaceDE w:val="0"/>
              <w:autoSpaceDN w:val="0"/>
              <w:adjustRightInd w:val="0"/>
              <w:spacing w:after="0" w:line="240" w:lineRule="atLeast"/>
              <w:textAlignment w:val="baseline"/>
              <w:rPr>
                <w:sz w:val="21"/>
                <w:szCs w:val="21"/>
                <w:lang w:eastAsia="en-US"/>
              </w:rPr>
            </w:pPr>
            <w:r>
              <w:rPr>
                <w:sz w:val="21"/>
                <w:szCs w:val="21"/>
                <w:lang w:eastAsia="en-US"/>
              </w:rPr>
              <w:t xml:space="preserve">2. Έξοδα επανατοποθέτησης α΄ υλών στους αποθηκευτικούς χώρους </w:t>
            </w:r>
          </w:p>
          <w:p w:rsidR="00E54474" w:rsidRDefault="00186478" w:rsidP="00186478">
            <w:pPr>
              <w:autoSpaceDE w:val="0"/>
              <w:autoSpaceDN w:val="0"/>
              <w:adjustRightInd w:val="0"/>
              <w:spacing w:after="0" w:line="240" w:lineRule="atLeast"/>
              <w:ind w:left="283" w:hanging="283"/>
              <w:textAlignment w:val="baseline"/>
              <w:rPr>
                <w:sz w:val="21"/>
                <w:szCs w:val="21"/>
                <w:lang w:eastAsia="en-US"/>
              </w:rPr>
            </w:pPr>
            <w:r>
              <w:rPr>
                <w:sz w:val="21"/>
                <w:szCs w:val="21"/>
                <w:lang w:eastAsia="en-US"/>
              </w:rPr>
              <w:t xml:space="preserve">λόγω αναδιοργανώσεως </w:t>
            </w:r>
          </w:p>
        </w:tc>
        <w:tc>
          <w:tcPr>
            <w:tcW w:w="1134"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tcPr>
          <w:p w:rsidR="00E54474" w:rsidRDefault="00E54474">
            <w:pPr>
              <w:autoSpaceDE w:val="0"/>
              <w:autoSpaceDN w:val="0"/>
              <w:adjustRightInd w:val="0"/>
              <w:spacing w:after="0" w:line="240" w:lineRule="atLeast"/>
              <w:jc w:val="right"/>
              <w:textAlignment w:val="baseline"/>
              <w:rPr>
                <w:sz w:val="21"/>
                <w:szCs w:val="21"/>
                <w:lang w:eastAsia="en-US"/>
              </w:rPr>
            </w:pPr>
          </w:p>
        </w:tc>
        <w:tc>
          <w:tcPr>
            <w:tcW w:w="1134" w:type="dxa"/>
            <w:tcBorders>
              <w:top w:val="single" w:sz="4" w:space="0" w:color="000000"/>
              <w:left w:val="single" w:sz="4" w:space="0" w:color="000000"/>
              <w:bottom w:val="single" w:sz="4" w:space="0" w:color="000000"/>
              <w:right w:val="single" w:sz="4" w:space="0" w:color="000000"/>
            </w:tcBorders>
            <w:hideMark/>
          </w:tcPr>
          <w:p w:rsidR="00E54474" w:rsidRDefault="00E54474">
            <w:pPr>
              <w:autoSpaceDE w:val="0"/>
              <w:autoSpaceDN w:val="0"/>
              <w:adjustRightInd w:val="0"/>
              <w:spacing w:after="0" w:line="240" w:lineRule="atLeast"/>
              <w:jc w:val="right"/>
              <w:textAlignment w:val="baseline"/>
              <w:rPr>
                <w:sz w:val="21"/>
                <w:szCs w:val="21"/>
                <w:lang w:eastAsia="en-US"/>
              </w:rPr>
            </w:pPr>
            <w:r>
              <w:rPr>
                <w:sz w:val="21"/>
                <w:szCs w:val="21"/>
                <w:lang w:eastAsia="en-US"/>
              </w:rPr>
              <w:t>80</w:t>
            </w:r>
          </w:p>
        </w:tc>
      </w:tr>
      <w:tr w:rsidR="00E54474" w:rsidTr="00E54474">
        <w:trPr>
          <w:trHeight w:val="60"/>
        </w:trPr>
        <w:tc>
          <w:tcPr>
            <w:tcW w:w="6947"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tLeast"/>
              <w:ind w:left="283" w:hanging="283"/>
              <w:textAlignment w:val="baseline"/>
              <w:rPr>
                <w:sz w:val="21"/>
                <w:szCs w:val="21"/>
                <w:lang w:eastAsia="en-US"/>
              </w:rPr>
            </w:pPr>
            <w:r>
              <w:rPr>
                <w:sz w:val="21"/>
                <w:szCs w:val="21"/>
                <w:lang w:eastAsia="en-US"/>
              </w:rPr>
              <w:t>3. Έξοδα ταξιδίου του διευθυντή παραγωγής για το κλείσιμο της παραγγελίας</w:t>
            </w:r>
          </w:p>
        </w:tc>
        <w:tc>
          <w:tcPr>
            <w:tcW w:w="1134"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tcPr>
          <w:p w:rsidR="00E54474" w:rsidRDefault="00E54474">
            <w:pPr>
              <w:autoSpaceDE w:val="0"/>
              <w:autoSpaceDN w:val="0"/>
              <w:adjustRightInd w:val="0"/>
              <w:spacing w:after="0" w:line="240" w:lineRule="atLeast"/>
              <w:jc w:val="right"/>
              <w:textAlignment w:val="baseline"/>
              <w:rPr>
                <w:sz w:val="21"/>
                <w:szCs w:val="21"/>
                <w:lang w:eastAsia="en-US"/>
              </w:rPr>
            </w:pPr>
          </w:p>
        </w:tc>
        <w:tc>
          <w:tcPr>
            <w:tcW w:w="1134" w:type="dxa"/>
            <w:tcBorders>
              <w:top w:val="single" w:sz="4" w:space="0" w:color="000000"/>
              <w:left w:val="single" w:sz="4" w:space="0" w:color="000000"/>
              <w:bottom w:val="single" w:sz="4" w:space="0" w:color="000000"/>
              <w:right w:val="single" w:sz="4" w:space="0" w:color="000000"/>
            </w:tcBorders>
            <w:hideMark/>
          </w:tcPr>
          <w:p w:rsidR="00E54474" w:rsidRDefault="00E54474">
            <w:pPr>
              <w:autoSpaceDE w:val="0"/>
              <w:autoSpaceDN w:val="0"/>
              <w:adjustRightInd w:val="0"/>
              <w:spacing w:after="0" w:line="240" w:lineRule="atLeast"/>
              <w:jc w:val="right"/>
              <w:textAlignment w:val="baseline"/>
              <w:rPr>
                <w:sz w:val="21"/>
                <w:szCs w:val="21"/>
                <w:lang w:eastAsia="en-US"/>
              </w:rPr>
            </w:pPr>
            <w:r>
              <w:rPr>
                <w:sz w:val="21"/>
                <w:szCs w:val="21"/>
                <w:lang w:eastAsia="en-US"/>
              </w:rPr>
              <w:t>1.000</w:t>
            </w:r>
          </w:p>
        </w:tc>
      </w:tr>
      <w:tr w:rsidR="00E54474" w:rsidTr="00E54474">
        <w:trPr>
          <w:trHeight w:val="60"/>
        </w:trPr>
        <w:tc>
          <w:tcPr>
            <w:tcW w:w="6947"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tLeast"/>
              <w:ind w:left="283" w:hanging="283"/>
              <w:textAlignment w:val="baseline"/>
              <w:rPr>
                <w:sz w:val="21"/>
                <w:szCs w:val="21"/>
                <w:lang w:eastAsia="en-US"/>
              </w:rPr>
            </w:pPr>
            <w:r>
              <w:rPr>
                <w:sz w:val="21"/>
                <w:szCs w:val="21"/>
                <w:lang w:eastAsia="en-US"/>
              </w:rPr>
              <w:t>4. Τιμολόγιο τόκων που καλύπτει την περίοδο πίστωσης που έχει χορηγηθεί</w:t>
            </w:r>
          </w:p>
          <w:p w:rsidR="00E54474" w:rsidRDefault="00E54474">
            <w:pPr>
              <w:autoSpaceDE w:val="0"/>
              <w:autoSpaceDN w:val="0"/>
              <w:adjustRightInd w:val="0"/>
              <w:spacing w:after="0" w:line="240" w:lineRule="atLeast"/>
              <w:ind w:left="283" w:hanging="283"/>
              <w:textAlignment w:val="baseline"/>
              <w:rPr>
                <w:sz w:val="21"/>
                <w:szCs w:val="21"/>
                <w:lang w:eastAsia="en-US"/>
              </w:rPr>
            </w:pPr>
            <w:r>
              <w:rPr>
                <w:sz w:val="21"/>
                <w:szCs w:val="21"/>
                <w:lang w:eastAsia="en-US"/>
              </w:rPr>
              <w:t>από τον οίκο των ΗΠΑ</w:t>
            </w:r>
          </w:p>
        </w:tc>
        <w:tc>
          <w:tcPr>
            <w:tcW w:w="1134"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tcPr>
          <w:p w:rsidR="00E54474" w:rsidRDefault="00E54474">
            <w:pPr>
              <w:autoSpaceDE w:val="0"/>
              <w:autoSpaceDN w:val="0"/>
              <w:adjustRightInd w:val="0"/>
              <w:spacing w:after="0" w:line="240" w:lineRule="atLeast"/>
              <w:jc w:val="right"/>
              <w:textAlignment w:val="baseline"/>
              <w:rPr>
                <w:sz w:val="21"/>
                <w:szCs w:val="21"/>
                <w:lang w:eastAsia="en-US"/>
              </w:rPr>
            </w:pPr>
          </w:p>
        </w:tc>
        <w:tc>
          <w:tcPr>
            <w:tcW w:w="1134" w:type="dxa"/>
            <w:tcBorders>
              <w:top w:val="single" w:sz="4" w:space="0" w:color="000000"/>
              <w:left w:val="single" w:sz="4" w:space="0" w:color="000000"/>
              <w:bottom w:val="single" w:sz="4" w:space="0" w:color="000000"/>
              <w:right w:val="single" w:sz="4" w:space="0" w:color="000000"/>
            </w:tcBorders>
            <w:hideMark/>
          </w:tcPr>
          <w:p w:rsidR="00E54474" w:rsidRDefault="00E54474">
            <w:pPr>
              <w:autoSpaceDE w:val="0"/>
              <w:autoSpaceDN w:val="0"/>
              <w:adjustRightInd w:val="0"/>
              <w:spacing w:after="0" w:line="240" w:lineRule="atLeast"/>
              <w:jc w:val="right"/>
              <w:textAlignment w:val="baseline"/>
              <w:rPr>
                <w:sz w:val="21"/>
                <w:szCs w:val="21"/>
                <w:lang w:eastAsia="en-US"/>
              </w:rPr>
            </w:pPr>
            <w:r>
              <w:rPr>
                <w:sz w:val="21"/>
                <w:szCs w:val="21"/>
                <w:lang w:eastAsia="en-US"/>
              </w:rPr>
              <w:t>60</w:t>
            </w:r>
          </w:p>
        </w:tc>
      </w:tr>
      <w:tr w:rsidR="00E54474" w:rsidTr="00E54474">
        <w:trPr>
          <w:trHeight w:val="60"/>
        </w:trPr>
        <w:tc>
          <w:tcPr>
            <w:tcW w:w="6947"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tLeast"/>
              <w:ind w:left="283" w:hanging="283"/>
              <w:textAlignment w:val="baseline"/>
              <w:rPr>
                <w:sz w:val="21"/>
                <w:szCs w:val="21"/>
                <w:lang w:eastAsia="en-US"/>
              </w:rPr>
            </w:pPr>
            <w:r>
              <w:rPr>
                <w:sz w:val="21"/>
                <w:szCs w:val="21"/>
                <w:lang w:eastAsia="en-US"/>
              </w:rPr>
              <w:t>5.</w:t>
            </w:r>
            <w:r>
              <w:rPr>
                <w:sz w:val="21"/>
                <w:szCs w:val="21"/>
                <w:lang w:eastAsia="en-US"/>
              </w:rPr>
              <w:tab/>
              <w:t xml:space="preserve"> Έμμεσο κόστος παραγωγής (σταθερό και μεταβλητό) του προϊόντος «Π»</w:t>
            </w:r>
          </w:p>
          <w:p w:rsidR="00E54474" w:rsidRDefault="00E54474">
            <w:pPr>
              <w:autoSpaceDE w:val="0"/>
              <w:autoSpaceDN w:val="0"/>
              <w:adjustRightInd w:val="0"/>
              <w:spacing w:after="0" w:line="240" w:lineRule="atLeast"/>
              <w:ind w:left="283" w:hanging="283"/>
              <w:textAlignment w:val="baseline"/>
              <w:rPr>
                <w:bCs/>
                <w:sz w:val="21"/>
                <w:szCs w:val="21"/>
                <w:lang w:eastAsia="en-US"/>
              </w:rPr>
            </w:pPr>
            <w:r>
              <w:rPr>
                <w:sz w:val="21"/>
                <w:szCs w:val="21"/>
                <w:lang w:eastAsia="en-US"/>
              </w:rPr>
              <w:t xml:space="preserve">€300, από το οποίο €40 αφορά κατανομή στο προϊόν του </w:t>
            </w:r>
            <w:r>
              <w:rPr>
                <w:bCs/>
                <w:sz w:val="21"/>
                <w:szCs w:val="21"/>
                <w:lang w:eastAsia="en-US"/>
              </w:rPr>
              <w:t>κόστους</w:t>
            </w:r>
          </w:p>
          <w:p w:rsidR="00E54474" w:rsidRDefault="00E54474">
            <w:pPr>
              <w:autoSpaceDE w:val="0"/>
              <w:autoSpaceDN w:val="0"/>
              <w:adjustRightInd w:val="0"/>
              <w:spacing w:after="0" w:line="240" w:lineRule="atLeast"/>
              <w:ind w:left="283" w:hanging="283"/>
              <w:textAlignment w:val="baseline"/>
              <w:rPr>
                <w:sz w:val="21"/>
                <w:szCs w:val="21"/>
                <w:lang w:eastAsia="en-US"/>
              </w:rPr>
            </w:pPr>
            <w:r>
              <w:rPr>
                <w:bCs/>
                <w:sz w:val="21"/>
                <w:szCs w:val="21"/>
                <w:lang w:eastAsia="en-US"/>
              </w:rPr>
              <w:t xml:space="preserve">υποαπασχόλησης του τμήματος της παραγωγής </w:t>
            </w:r>
          </w:p>
        </w:tc>
        <w:tc>
          <w:tcPr>
            <w:tcW w:w="1134"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tcPr>
          <w:p w:rsidR="00E54474" w:rsidRDefault="00E54474">
            <w:pPr>
              <w:autoSpaceDE w:val="0"/>
              <w:autoSpaceDN w:val="0"/>
              <w:adjustRightInd w:val="0"/>
              <w:spacing w:after="0" w:line="240" w:lineRule="atLeast"/>
              <w:jc w:val="right"/>
              <w:textAlignment w:val="baseline"/>
              <w:rPr>
                <w:sz w:val="21"/>
                <w:szCs w:val="21"/>
                <w:lang w:eastAsia="en-US"/>
              </w:rPr>
            </w:pPr>
          </w:p>
        </w:tc>
        <w:tc>
          <w:tcPr>
            <w:tcW w:w="1134" w:type="dxa"/>
            <w:tcBorders>
              <w:top w:val="single" w:sz="4" w:space="0" w:color="000000"/>
              <w:left w:val="single" w:sz="4" w:space="0" w:color="000000"/>
              <w:bottom w:val="single" w:sz="4" w:space="0" w:color="000000"/>
              <w:right w:val="single" w:sz="4" w:space="0" w:color="000000"/>
            </w:tcBorders>
            <w:hideMark/>
          </w:tcPr>
          <w:p w:rsidR="00E54474" w:rsidRDefault="00E54474">
            <w:pPr>
              <w:autoSpaceDE w:val="0"/>
              <w:autoSpaceDN w:val="0"/>
              <w:adjustRightInd w:val="0"/>
              <w:spacing w:after="0" w:line="240" w:lineRule="atLeast"/>
              <w:jc w:val="right"/>
              <w:textAlignment w:val="baseline"/>
              <w:rPr>
                <w:sz w:val="21"/>
                <w:szCs w:val="21"/>
                <w:lang w:eastAsia="en-US"/>
              </w:rPr>
            </w:pPr>
            <w:r>
              <w:rPr>
                <w:sz w:val="21"/>
                <w:szCs w:val="21"/>
                <w:lang w:eastAsia="en-US"/>
              </w:rPr>
              <w:t>40</w:t>
            </w:r>
          </w:p>
        </w:tc>
      </w:tr>
      <w:tr w:rsidR="00E54474" w:rsidTr="00E54474">
        <w:trPr>
          <w:trHeight w:val="60"/>
        </w:trPr>
        <w:tc>
          <w:tcPr>
            <w:tcW w:w="6947"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uto"/>
              <w:rPr>
                <w:sz w:val="21"/>
                <w:szCs w:val="21"/>
                <w:lang w:eastAsia="en-US"/>
              </w:rPr>
            </w:pPr>
            <w:r>
              <w:rPr>
                <w:sz w:val="21"/>
                <w:szCs w:val="21"/>
                <w:lang w:eastAsia="en-US"/>
              </w:rPr>
              <w:t xml:space="preserve">6. Τόκοι γενικού δανεισμού της οντότητας €3.000 εκ των οποίων €170 αφορούν την παραγωγή του ετοίμου προϊόντος </w:t>
            </w:r>
          </w:p>
        </w:tc>
        <w:tc>
          <w:tcPr>
            <w:tcW w:w="1134"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tcPr>
          <w:p w:rsidR="00E54474" w:rsidRDefault="00E54474">
            <w:pPr>
              <w:autoSpaceDE w:val="0"/>
              <w:autoSpaceDN w:val="0"/>
              <w:adjustRightInd w:val="0"/>
              <w:spacing w:after="0" w:line="240" w:lineRule="atLeast"/>
              <w:jc w:val="right"/>
              <w:textAlignment w:val="baseline"/>
              <w:rPr>
                <w:sz w:val="21"/>
                <w:szCs w:val="21"/>
                <w:lang w:eastAsia="en-US"/>
              </w:rPr>
            </w:pPr>
          </w:p>
        </w:tc>
        <w:tc>
          <w:tcPr>
            <w:tcW w:w="1134" w:type="dxa"/>
            <w:tcBorders>
              <w:top w:val="single" w:sz="4" w:space="0" w:color="000000"/>
              <w:left w:val="single" w:sz="4" w:space="0" w:color="000000"/>
              <w:bottom w:val="single" w:sz="4" w:space="0" w:color="000000"/>
              <w:right w:val="single" w:sz="4" w:space="0" w:color="000000"/>
            </w:tcBorders>
            <w:hideMark/>
          </w:tcPr>
          <w:p w:rsidR="00E54474" w:rsidRDefault="00E54474">
            <w:pPr>
              <w:autoSpaceDE w:val="0"/>
              <w:autoSpaceDN w:val="0"/>
              <w:adjustRightInd w:val="0"/>
              <w:spacing w:after="0" w:line="240" w:lineRule="atLeast"/>
              <w:jc w:val="right"/>
              <w:textAlignment w:val="baseline"/>
              <w:rPr>
                <w:sz w:val="21"/>
                <w:szCs w:val="21"/>
                <w:lang w:eastAsia="en-US"/>
              </w:rPr>
            </w:pPr>
            <w:r>
              <w:rPr>
                <w:sz w:val="21"/>
                <w:szCs w:val="21"/>
                <w:lang w:eastAsia="en-US"/>
              </w:rPr>
              <w:t>2.830</w:t>
            </w:r>
          </w:p>
        </w:tc>
      </w:tr>
      <w:tr w:rsidR="00E54474" w:rsidTr="00E54474">
        <w:trPr>
          <w:trHeight w:val="60"/>
        </w:trPr>
        <w:tc>
          <w:tcPr>
            <w:tcW w:w="6947"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uto"/>
              <w:rPr>
                <w:sz w:val="21"/>
                <w:szCs w:val="21"/>
                <w:lang w:eastAsia="en-US"/>
              </w:rPr>
            </w:pPr>
            <w:r>
              <w:rPr>
                <w:sz w:val="21"/>
                <w:szCs w:val="21"/>
                <w:lang w:eastAsia="en-US"/>
              </w:rPr>
              <w:t>7. Έξοδα αποθήκευσης του ετοίμου προϊόντος «Π»</w:t>
            </w:r>
          </w:p>
        </w:tc>
        <w:tc>
          <w:tcPr>
            <w:tcW w:w="1134"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tcPr>
          <w:p w:rsidR="00E54474" w:rsidRDefault="00E54474">
            <w:pPr>
              <w:autoSpaceDE w:val="0"/>
              <w:autoSpaceDN w:val="0"/>
              <w:adjustRightInd w:val="0"/>
              <w:spacing w:after="0" w:line="240" w:lineRule="atLeast"/>
              <w:jc w:val="right"/>
              <w:textAlignment w:val="baseline"/>
              <w:rPr>
                <w:sz w:val="21"/>
                <w:szCs w:val="21"/>
                <w:lang w:eastAsia="en-US"/>
              </w:rPr>
            </w:pPr>
          </w:p>
        </w:tc>
        <w:tc>
          <w:tcPr>
            <w:tcW w:w="1134" w:type="dxa"/>
            <w:tcBorders>
              <w:top w:val="single" w:sz="4" w:space="0" w:color="000000"/>
              <w:left w:val="single" w:sz="4" w:space="0" w:color="000000"/>
              <w:bottom w:val="single" w:sz="4" w:space="0" w:color="000000"/>
              <w:right w:val="single" w:sz="4" w:space="0" w:color="000000"/>
            </w:tcBorders>
            <w:hideMark/>
          </w:tcPr>
          <w:p w:rsidR="00E54474" w:rsidRDefault="00E54474">
            <w:pPr>
              <w:autoSpaceDE w:val="0"/>
              <w:autoSpaceDN w:val="0"/>
              <w:adjustRightInd w:val="0"/>
              <w:spacing w:after="0" w:line="240" w:lineRule="atLeast"/>
              <w:jc w:val="right"/>
              <w:textAlignment w:val="baseline"/>
              <w:rPr>
                <w:sz w:val="21"/>
                <w:szCs w:val="21"/>
                <w:lang w:eastAsia="en-US"/>
              </w:rPr>
            </w:pPr>
            <w:r>
              <w:rPr>
                <w:sz w:val="21"/>
                <w:szCs w:val="21"/>
                <w:lang w:eastAsia="en-US"/>
              </w:rPr>
              <w:t>400</w:t>
            </w:r>
          </w:p>
        </w:tc>
      </w:tr>
      <w:tr w:rsidR="00E54474" w:rsidTr="00E54474">
        <w:trPr>
          <w:trHeight w:val="60"/>
        </w:trPr>
        <w:tc>
          <w:tcPr>
            <w:tcW w:w="6947"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hideMark/>
          </w:tcPr>
          <w:p w:rsidR="00E54474" w:rsidRDefault="00E54474">
            <w:pPr>
              <w:autoSpaceDE w:val="0"/>
              <w:autoSpaceDN w:val="0"/>
              <w:adjustRightInd w:val="0"/>
              <w:spacing w:after="0" w:line="240" w:lineRule="auto"/>
              <w:rPr>
                <w:sz w:val="21"/>
                <w:szCs w:val="21"/>
                <w:lang w:eastAsia="en-US"/>
              </w:rPr>
            </w:pPr>
            <w:r>
              <w:rPr>
                <w:sz w:val="21"/>
                <w:szCs w:val="21"/>
                <w:lang w:eastAsia="en-US"/>
              </w:rPr>
              <w:t>8. Δαπάνες επισκευών και συντηρήσεων του τμήματος παραγωγής</w:t>
            </w:r>
          </w:p>
        </w:tc>
        <w:tc>
          <w:tcPr>
            <w:tcW w:w="1134" w:type="dxa"/>
            <w:tcBorders>
              <w:top w:val="single" w:sz="4" w:space="0" w:color="000000"/>
              <w:left w:val="single" w:sz="4" w:space="0" w:color="000000"/>
              <w:bottom w:val="single" w:sz="4" w:space="0" w:color="000000"/>
              <w:right w:val="single" w:sz="4" w:space="0" w:color="000000"/>
            </w:tcBorders>
            <w:tcMar>
              <w:top w:w="79" w:type="dxa"/>
              <w:left w:w="57" w:type="dxa"/>
              <w:bottom w:w="79" w:type="dxa"/>
              <w:right w:w="57" w:type="dxa"/>
            </w:tcMar>
          </w:tcPr>
          <w:p w:rsidR="00E54474" w:rsidRDefault="00E54474">
            <w:pPr>
              <w:autoSpaceDE w:val="0"/>
              <w:autoSpaceDN w:val="0"/>
              <w:adjustRightInd w:val="0"/>
              <w:spacing w:after="0" w:line="240" w:lineRule="atLeast"/>
              <w:jc w:val="right"/>
              <w:textAlignment w:val="baseline"/>
              <w:rPr>
                <w:sz w:val="21"/>
                <w:szCs w:val="21"/>
                <w:lang w:eastAsia="en-US"/>
              </w:rPr>
            </w:pPr>
          </w:p>
        </w:tc>
        <w:tc>
          <w:tcPr>
            <w:tcW w:w="1134" w:type="dxa"/>
            <w:tcBorders>
              <w:top w:val="single" w:sz="4" w:space="0" w:color="000000"/>
              <w:left w:val="single" w:sz="4" w:space="0" w:color="000000"/>
              <w:bottom w:val="single" w:sz="4" w:space="0" w:color="000000"/>
              <w:right w:val="single" w:sz="4" w:space="0" w:color="000000"/>
            </w:tcBorders>
            <w:hideMark/>
          </w:tcPr>
          <w:p w:rsidR="00E54474" w:rsidRDefault="00E54474">
            <w:pPr>
              <w:autoSpaceDE w:val="0"/>
              <w:autoSpaceDN w:val="0"/>
              <w:adjustRightInd w:val="0"/>
              <w:spacing w:after="0" w:line="240" w:lineRule="atLeast"/>
              <w:jc w:val="right"/>
              <w:textAlignment w:val="baseline"/>
              <w:rPr>
                <w:sz w:val="21"/>
                <w:szCs w:val="21"/>
                <w:lang w:eastAsia="en-US"/>
              </w:rPr>
            </w:pPr>
            <w:r>
              <w:rPr>
                <w:sz w:val="21"/>
                <w:szCs w:val="21"/>
                <w:lang w:eastAsia="en-US"/>
              </w:rPr>
              <w:t>90</w:t>
            </w:r>
          </w:p>
        </w:tc>
      </w:tr>
    </w:tbl>
    <w:p w:rsidR="00297368" w:rsidRDefault="00297368" w:rsidP="00E54474">
      <w:pPr>
        <w:ind w:left="-851"/>
        <w:rPr>
          <w:b/>
        </w:rPr>
      </w:pPr>
    </w:p>
    <w:p w:rsidR="00297368" w:rsidRDefault="00297368" w:rsidP="00E54474">
      <w:pPr>
        <w:ind w:left="-851"/>
        <w:rPr>
          <w:b/>
        </w:rPr>
      </w:pPr>
    </w:p>
    <w:p w:rsidR="00297368" w:rsidRDefault="00297368" w:rsidP="00E54474">
      <w:pPr>
        <w:ind w:left="-851"/>
        <w:rPr>
          <w:b/>
        </w:rPr>
      </w:pPr>
    </w:p>
    <w:p w:rsidR="00297368" w:rsidRDefault="00297368" w:rsidP="00E54474">
      <w:pPr>
        <w:ind w:left="-851"/>
        <w:rPr>
          <w:b/>
        </w:rPr>
      </w:pPr>
    </w:p>
    <w:p w:rsidR="00297368" w:rsidRDefault="00297368" w:rsidP="00E54474">
      <w:pPr>
        <w:ind w:left="-851"/>
        <w:rPr>
          <w:b/>
        </w:rPr>
      </w:pPr>
    </w:p>
    <w:p w:rsidR="00297368" w:rsidRDefault="00297368" w:rsidP="00E54474">
      <w:pPr>
        <w:ind w:left="-851"/>
        <w:rPr>
          <w:b/>
        </w:rPr>
      </w:pPr>
    </w:p>
    <w:p w:rsidR="00E54474" w:rsidRDefault="00E54474" w:rsidP="00E54474">
      <w:pPr>
        <w:ind w:left="-851"/>
        <w:rPr>
          <w:b/>
        </w:rPr>
      </w:pPr>
      <w:r>
        <w:rPr>
          <w:b/>
        </w:rPr>
        <w:t xml:space="preserve">2. Ημερολογιακή εγγραφή αρχικού κόστους της πρώτης ύλης «Υ»  </w:t>
      </w:r>
    </w:p>
    <w:p w:rsidR="00E54474" w:rsidRDefault="00E54474" w:rsidP="00E54474">
      <w:pPr>
        <w:ind w:left="-851"/>
        <w:rPr>
          <w:sz w:val="21"/>
          <w:szCs w:val="21"/>
        </w:rPr>
      </w:pPr>
      <w:r>
        <w:rPr>
          <w:sz w:val="21"/>
          <w:szCs w:val="21"/>
        </w:rPr>
        <w:t>……………………………………………………</w:t>
      </w:r>
      <w:r>
        <w:rPr>
          <w:b/>
          <w:sz w:val="21"/>
          <w:szCs w:val="21"/>
        </w:rPr>
        <w:t>ΧΧΧΧΧΧΧ</w:t>
      </w:r>
      <w:r>
        <w:rPr>
          <w:sz w:val="21"/>
          <w:szCs w:val="21"/>
        </w:rPr>
        <w:t>……………………………………………</w:t>
      </w:r>
    </w:p>
    <w:p w:rsidR="00E54474" w:rsidRDefault="00E54474" w:rsidP="00E54474">
      <w:pPr>
        <w:autoSpaceDE w:val="0"/>
        <w:autoSpaceDN w:val="0"/>
        <w:adjustRightInd w:val="0"/>
        <w:spacing w:after="0" w:line="280" w:lineRule="atLeast"/>
        <w:ind w:left="-851"/>
        <w:textAlignment w:val="baseline"/>
        <w:rPr>
          <w:b/>
          <w:sz w:val="21"/>
          <w:szCs w:val="21"/>
        </w:rPr>
      </w:pPr>
      <w:r>
        <w:rPr>
          <w:b/>
          <w:sz w:val="21"/>
          <w:szCs w:val="21"/>
        </w:rPr>
        <w:t>24 Πρώτες ύλες και υλικά</w:t>
      </w:r>
    </w:p>
    <w:p w:rsidR="00E54474" w:rsidRDefault="00E54474" w:rsidP="00E54474">
      <w:pPr>
        <w:tabs>
          <w:tab w:val="left" w:pos="5970"/>
        </w:tabs>
        <w:autoSpaceDE w:val="0"/>
        <w:autoSpaceDN w:val="0"/>
        <w:adjustRightInd w:val="0"/>
        <w:spacing w:after="0" w:line="280" w:lineRule="atLeast"/>
        <w:ind w:left="-851"/>
        <w:textAlignment w:val="baseline"/>
        <w:rPr>
          <w:sz w:val="21"/>
          <w:szCs w:val="21"/>
        </w:rPr>
      </w:pPr>
      <w:r>
        <w:rPr>
          <w:sz w:val="21"/>
          <w:szCs w:val="21"/>
        </w:rPr>
        <w:t>24.02 Αγορές πρώτων υλών και υλικών χρήσης</w:t>
      </w:r>
    </w:p>
    <w:p w:rsidR="00E54474" w:rsidRDefault="00E54474" w:rsidP="00E54474">
      <w:pPr>
        <w:tabs>
          <w:tab w:val="left" w:pos="5970"/>
        </w:tabs>
        <w:autoSpaceDE w:val="0"/>
        <w:autoSpaceDN w:val="0"/>
        <w:adjustRightInd w:val="0"/>
        <w:spacing w:after="0" w:line="280" w:lineRule="atLeast"/>
        <w:ind w:left="-851"/>
        <w:textAlignment w:val="baseline"/>
        <w:rPr>
          <w:sz w:val="21"/>
          <w:szCs w:val="21"/>
        </w:rPr>
      </w:pPr>
      <w:r>
        <w:rPr>
          <w:sz w:val="21"/>
          <w:szCs w:val="21"/>
        </w:rPr>
        <w:t>24.02.01Πρώτη ύλη «Υ»                                                                        11.200</w:t>
      </w:r>
    </w:p>
    <w:p w:rsidR="00E54474" w:rsidRDefault="00E54474" w:rsidP="00E54474">
      <w:pPr>
        <w:tabs>
          <w:tab w:val="left" w:pos="5460"/>
        </w:tabs>
        <w:autoSpaceDE w:val="0"/>
        <w:autoSpaceDN w:val="0"/>
        <w:adjustRightInd w:val="0"/>
        <w:spacing w:after="0" w:line="280" w:lineRule="atLeast"/>
        <w:ind w:left="-851"/>
        <w:textAlignment w:val="baseline"/>
        <w:rPr>
          <w:b/>
          <w:sz w:val="21"/>
          <w:szCs w:val="21"/>
        </w:rPr>
      </w:pPr>
      <w:r>
        <w:rPr>
          <w:b/>
          <w:sz w:val="21"/>
          <w:szCs w:val="21"/>
        </w:rPr>
        <w:t>54 Υποχρεώσεις από φόρους και τέλη</w:t>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sz w:val="21"/>
          <w:szCs w:val="21"/>
        </w:rPr>
        <w:t>54.02 Φόρος προστιθέμενης αξίας (ΦΠΑ)</w:t>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sz w:val="21"/>
          <w:szCs w:val="21"/>
        </w:rPr>
        <w:t>54.02.02 ΦΠΑ εισροών                                                                           2.620</w:t>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sz w:val="21"/>
          <w:szCs w:val="21"/>
        </w:rPr>
        <w:t xml:space="preserve">(ΦΠΑ 23% επί υποκείμενης τεκμαρτής αξίας €11.395 ως διασάφηση) </w:t>
      </w:r>
    </w:p>
    <w:p w:rsidR="00E54474" w:rsidRDefault="00E54474" w:rsidP="00E54474">
      <w:pPr>
        <w:tabs>
          <w:tab w:val="left" w:pos="5460"/>
        </w:tabs>
        <w:autoSpaceDE w:val="0"/>
        <w:autoSpaceDN w:val="0"/>
        <w:adjustRightInd w:val="0"/>
        <w:spacing w:after="0" w:line="280" w:lineRule="atLeast"/>
        <w:ind w:left="-851"/>
        <w:textAlignment w:val="baseline"/>
        <w:rPr>
          <w:b/>
          <w:sz w:val="21"/>
          <w:szCs w:val="21"/>
        </w:rPr>
      </w:pPr>
      <w:r>
        <w:rPr>
          <w:b/>
          <w:sz w:val="21"/>
          <w:szCs w:val="21"/>
        </w:rPr>
        <w:t xml:space="preserve">     37 Προπληρωμένα έξοδα και δουλευμένα έσοδα περιόδου</w:t>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b/>
          <w:sz w:val="21"/>
          <w:szCs w:val="21"/>
        </w:rPr>
        <w:t xml:space="preserve">     </w:t>
      </w:r>
      <w:r>
        <w:rPr>
          <w:sz w:val="21"/>
          <w:szCs w:val="21"/>
        </w:rPr>
        <w:t>37.01 Προπληρωμένα έξοδα</w:t>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sz w:val="21"/>
          <w:szCs w:val="21"/>
        </w:rPr>
        <w:t xml:space="preserve">     37.01.01 Προπληρωμένα έξοδα σε μη συνδεδεμένες οντότητες-Παραγγελίες εξωτερικού                              13.820 </w:t>
      </w:r>
    </w:p>
    <w:p w:rsidR="00E54474" w:rsidRDefault="00E54474" w:rsidP="00E54474">
      <w:pPr>
        <w:ind w:left="-851"/>
        <w:rPr>
          <w:b/>
          <w:sz w:val="21"/>
          <w:szCs w:val="21"/>
        </w:rPr>
      </w:pPr>
      <w:r>
        <w:rPr>
          <w:b/>
          <w:sz w:val="21"/>
          <w:szCs w:val="21"/>
        </w:rPr>
        <w:t>Λογιστικοποίηση κόστους εισαγωγής της πρώτης ύλης «Υ»</w:t>
      </w:r>
    </w:p>
    <w:p w:rsidR="00E54474" w:rsidRDefault="00E54474" w:rsidP="00E54474">
      <w:pPr>
        <w:ind w:left="-851"/>
        <w:rPr>
          <w:b/>
          <w:bCs/>
        </w:rPr>
      </w:pPr>
      <w:r>
        <w:rPr>
          <w:b/>
          <w:bCs/>
        </w:rPr>
        <w:t>Παράδειγμα 3</w:t>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sz w:val="21"/>
          <w:szCs w:val="21"/>
        </w:rPr>
        <w:t xml:space="preserve">    Η βιομηχανική μονάδα «Χ» παράγει και πωλεί μεταξύ των άλλων και το προϊόν «Π». Το κόστος παραγωγής του προϊόντος «Π» ανέρχεται στο ποσό των €2.400 ανά τεμάχιο και η τιμή πώλησής του στο ποσό των €3.000 ανά τεμάχιο. Το Δεκέμβριο του 20Χ1, μια καινούρια πατέντα (</w:t>
      </w:r>
      <w:r>
        <w:rPr>
          <w:sz w:val="21"/>
          <w:szCs w:val="21"/>
          <w:lang w:val="en-US"/>
        </w:rPr>
        <w:t>know</w:t>
      </w:r>
      <w:r w:rsidRPr="00E54474">
        <w:rPr>
          <w:sz w:val="21"/>
          <w:szCs w:val="21"/>
        </w:rPr>
        <w:t xml:space="preserve"> </w:t>
      </w:r>
      <w:r>
        <w:rPr>
          <w:sz w:val="21"/>
          <w:szCs w:val="21"/>
          <w:lang w:val="en-US"/>
        </w:rPr>
        <w:t>how</w:t>
      </w:r>
      <w:r>
        <w:rPr>
          <w:sz w:val="21"/>
          <w:szCs w:val="21"/>
        </w:rPr>
        <w:t>) της ανταγωνίστριας οντότητας «Ψ», διαμόρφωσε την τιμή πώλησης σε €2.000 ανά τεμάχιο. Στους όρους καλής συνεργασίας που είχε υπογράψει η βιομηχανική μονάδα «Χ» με τον πελάτη της «ΠΕΛ», είχε ορισθεί ότι ο πελάτης «ΠΕΛ» θα προμηθευόταν το προϊόν «Π» αποκλειστικά από την «Χ» (μέχρις εξαντλήσεως των αποθεμάτων), με τιμή πώλησης όχι κάτω από το ποσό των €2.200 ανά τεμάχιο. Την 31.12.20Χ1, ημερομηνία κλεισίματος ισολογισμού της «Χ», το αρχείο αποθεμάτων (καρτέλα αποθήκης) του προϊόντος «Π», έδειχνε ποσότητα 100 τεμαχίων που συμφωνούσε με το αντίστοιχο υπόλοιπο της φυσικής απογραφής.</w:t>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p>
    <w:p w:rsidR="00E54474" w:rsidRDefault="00E54474" w:rsidP="00E54474">
      <w:pPr>
        <w:tabs>
          <w:tab w:val="left" w:pos="5460"/>
        </w:tabs>
        <w:autoSpaceDE w:val="0"/>
        <w:autoSpaceDN w:val="0"/>
        <w:adjustRightInd w:val="0"/>
        <w:spacing w:after="0" w:line="280" w:lineRule="atLeast"/>
        <w:ind w:left="-851"/>
        <w:textAlignment w:val="baseline"/>
        <w:rPr>
          <w:b/>
          <w:sz w:val="21"/>
          <w:szCs w:val="21"/>
        </w:rPr>
      </w:pPr>
      <w:r>
        <w:rPr>
          <w:b/>
          <w:sz w:val="21"/>
          <w:szCs w:val="21"/>
        </w:rPr>
        <w:t>Ζητούνται</w:t>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b/>
          <w:sz w:val="21"/>
          <w:szCs w:val="21"/>
        </w:rPr>
        <w:t>α)</w:t>
      </w:r>
      <w:r>
        <w:rPr>
          <w:sz w:val="21"/>
          <w:szCs w:val="21"/>
        </w:rPr>
        <w:t xml:space="preserve">  Την 31.12.20Χ1,να γίνει η επιμέτρηση (αποτίμηση) των μενόντων τεμαχίων του προϊόντος «Π» και,</w:t>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b/>
          <w:sz w:val="21"/>
          <w:szCs w:val="21"/>
        </w:rPr>
        <w:t>β)</w:t>
      </w:r>
      <w:r>
        <w:rPr>
          <w:sz w:val="21"/>
          <w:szCs w:val="21"/>
        </w:rPr>
        <w:t xml:space="preserve"> να γίνει η αντίστοιχη ημερολογιακή εγγραφή στα λογιστικά αρχεία της βιομηχανικής μονάδας «Χ».</w:t>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p>
    <w:p w:rsidR="00E54474" w:rsidRDefault="00E54474" w:rsidP="00E54474">
      <w:pPr>
        <w:ind w:left="-851"/>
        <w:rPr>
          <w:b/>
        </w:rPr>
      </w:pPr>
      <w:r>
        <w:rPr>
          <w:b/>
        </w:rPr>
        <w:t>Ανάλυση-λύση</w:t>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sz w:val="21"/>
          <w:szCs w:val="21"/>
        </w:rPr>
        <w:t xml:space="preserve">    Το προϊόν «Π», πρέπει να αποτιμηθεί στην κατ’ είδος χαμηλότερη αξία μεταξύ του κόστους παραγωγής και καθαρής ρευστοποιήσιμης αξίας, ώστε να διασφαλίζεται ότι η αξία του τελικού αποθέματος παρουσιάζεται πάντοτε σε ποσό που είναι ανακτήσιμο. Επομένως, η αποτίμηση θα γίνει στη χαμηλότερη αξία μεταξύ του κόστους παραγωγής ποσού €240.000 (100τεμ χ 2.400€/τεμ) και της καθαρής αξίας του προϊόντος «Π», δηλαδή στο ποσό των €220.000 (100τεμ χ 2.200€/τεμ). Στην περίπτωση αυτή η καθαρή ρευστοποιήσιμη αξία είναι €220.000 και όχι το ποσό των €200.000 (100τεμ χ 2.000€/τεμ), επειδή υπάρχει συμφωνία μεταξύ της βιομηχανικής μονάδας «Χ» και του πελάτη της «ΠΕΛ» και ως εκ τούτου θα εγγραφεί ζημία απομείωσης €20.000 (€240.000-€220.000). </w:t>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p>
    <w:p w:rsidR="00297368" w:rsidRDefault="00297368" w:rsidP="00E54474">
      <w:pPr>
        <w:tabs>
          <w:tab w:val="left" w:pos="5460"/>
        </w:tabs>
        <w:autoSpaceDE w:val="0"/>
        <w:autoSpaceDN w:val="0"/>
        <w:adjustRightInd w:val="0"/>
        <w:spacing w:after="0" w:line="280" w:lineRule="atLeast"/>
        <w:ind w:left="-851"/>
        <w:textAlignment w:val="baseline"/>
        <w:rPr>
          <w:b/>
        </w:rPr>
      </w:pPr>
    </w:p>
    <w:p w:rsidR="00297368" w:rsidRDefault="00297368" w:rsidP="00E54474">
      <w:pPr>
        <w:tabs>
          <w:tab w:val="left" w:pos="5460"/>
        </w:tabs>
        <w:autoSpaceDE w:val="0"/>
        <w:autoSpaceDN w:val="0"/>
        <w:adjustRightInd w:val="0"/>
        <w:spacing w:after="0" w:line="280" w:lineRule="atLeast"/>
        <w:ind w:left="-851"/>
        <w:textAlignment w:val="baseline"/>
        <w:rPr>
          <w:b/>
        </w:rPr>
      </w:pPr>
    </w:p>
    <w:p w:rsidR="00297368" w:rsidRDefault="00297368" w:rsidP="00E54474">
      <w:pPr>
        <w:tabs>
          <w:tab w:val="left" w:pos="5460"/>
        </w:tabs>
        <w:autoSpaceDE w:val="0"/>
        <w:autoSpaceDN w:val="0"/>
        <w:adjustRightInd w:val="0"/>
        <w:spacing w:after="0" w:line="280" w:lineRule="atLeast"/>
        <w:ind w:left="-851"/>
        <w:textAlignment w:val="baseline"/>
        <w:rPr>
          <w:b/>
        </w:rPr>
      </w:pPr>
    </w:p>
    <w:p w:rsidR="00297368" w:rsidRDefault="00297368" w:rsidP="00E54474">
      <w:pPr>
        <w:tabs>
          <w:tab w:val="left" w:pos="5460"/>
        </w:tabs>
        <w:autoSpaceDE w:val="0"/>
        <w:autoSpaceDN w:val="0"/>
        <w:adjustRightInd w:val="0"/>
        <w:spacing w:after="0" w:line="280" w:lineRule="atLeast"/>
        <w:ind w:left="-851"/>
        <w:textAlignment w:val="baseline"/>
        <w:rPr>
          <w:b/>
        </w:rPr>
      </w:pPr>
    </w:p>
    <w:p w:rsidR="00297368" w:rsidRDefault="00297368" w:rsidP="00E54474">
      <w:pPr>
        <w:tabs>
          <w:tab w:val="left" w:pos="5460"/>
        </w:tabs>
        <w:autoSpaceDE w:val="0"/>
        <w:autoSpaceDN w:val="0"/>
        <w:adjustRightInd w:val="0"/>
        <w:spacing w:after="0" w:line="280" w:lineRule="atLeast"/>
        <w:ind w:left="-851"/>
        <w:textAlignment w:val="baseline"/>
        <w:rPr>
          <w:b/>
        </w:rPr>
      </w:pPr>
    </w:p>
    <w:p w:rsidR="00297368" w:rsidRDefault="00297368" w:rsidP="00E54474">
      <w:pPr>
        <w:tabs>
          <w:tab w:val="left" w:pos="5460"/>
        </w:tabs>
        <w:autoSpaceDE w:val="0"/>
        <w:autoSpaceDN w:val="0"/>
        <w:adjustRightInd w:val="0"/>
        <w:spacing w:after="0" w:line="280" w:lineRule="atLeast"/>
        <w:ind w:left="-851"/>
        <w:textAlignment w:val="baseline"/>
        <w:rPr>
          <w:b/>
        </w:rPr>
      </w:pPr>
    </w:p>
    <w:p w:rsidR="00297368" w:rsidRDefault="00297368" w:rsidP="00E54474">
      <w:pPr>
        <w:tabs>
          <w:tab w:val="left" w:pos="5460"/>
        </w:tabs>
        <w:autoSpaceDE w:val="0"/>
        <w:autoSpaceDN w:val="0"/>
        <w:adjustRightInd w:val="0"/>
        <w:spacing w:after="0" w:line="280" w:lineRule="atLeast"/>
        <w:ind w:left="-851"/>
        <w:textAlignment w:val="baseline"/>
        <w:rPr>
          <w:b/>
        </w:rPr>
      </w:pPr>
    </w:p>
    <w:p w:rsidR="00E54474" w:rsidRDefault="00E54474" w:rsidP="00E54474">
      <w:pPr>
        <w:tabs>
          <w:tab w:val="left" w:pos="5460"/>
        </w:tabs>
        <w:autoSpaceDE w:val="0"/>
        <w:autoSpaceDN w:val="0"/>
        <w:adjustRightInd w:val="0"/>
        <w:spacing w:after="0" w:line="280" w:lineRule="atLeast"/>
        <w:ind w:left="-851"/>
        <w:textAlignment w:val="baseline"/>
        <w:rPr>
          <w:b/>
        </w:rPr>
      </w:pPr>
      <w:r>
        <w:rPr>
          <w:b/>
        </w:rPr>
        <w:t>Ημερολογιακή εγγραφή απομείωσης</w:t>
      </w:r>
    </w:p>
    <w:p w:rsidR="00E54474" w:rsidRDefault="00E54474" w:rsidP="00E54474">
      <w:pPr>
        <w:ind w:left="-851"/>
        <w:rPr>
          <w:sz w:val="21"/>
          <w:szCs w:val="21"/>
        </w:rPr>
      </w:pPr>
      <w:r>
        <w:rPr>
          <w:sz w:val="21"/>
          <w:szCs w:val="21"/>
        </w:rPr>
        <w:t xml:space="preserve"> ……………………………………………………</w:t>
      </w:r>
      <w:r>
        <w:rPr>
          <w:b/>
          <w:sz w:val="21"/>
          <w:szCs w:val="21"/>
        </w:rPr>
        <w:t>31-12-20Χ1</w:t>
      </w:r>
      <w:r>
        <w:rPr>
          <w:sz w:val="21"/>
          <w:szCs w:val="21"/>
        </w:rPr>
        <w:t>………………………………………………</w:t>
      </w:r>
    </w:p>
    <w:p w:rsidR="00E54474" w:rsidRDefault="00E54474" w:rsidP="00E54474">
      <w:pPr>
        <w:autoSpaceDE w:val="0"/>
        <w:autoSpaceDN w:val="0"/>
        <w:adjustRightInd w:val="0"/>
        <w:spacing w:after="0" w:line="280" w:lineRule="atLeast"/>
        <w:ind w:left="-851"/>
        <w:textAlignment w:val="baseline"/>
        <w:rPr>
          <w:b/>
          <w:sz w:val="21"/>
          <w:szCs w:val="21"/>
        </w:rPr>
      </w:pPr>
      <w:r>
        <w:rPr>
          <w:b/>
          <w:sz w:val="21"/>
          <w:szCs w:val="21"/>
        </w:rPr>
        <w:t>61 Ζημίες επιμέτρησης περιουσιακών στοιχείων</w:t>
      </w:r>
    </w:p>
    <w:p w:rsidR="00E54474" w:rsidRDefault="00E54474" w:rsidP="00E54474">
      <w:pPr>
        <w:tabs>
          <w:tab w:val="left" w:pos="5970"/>
        </w:tabs>
        <w:autoSpaceDE w:val="0"/>
        <w:autoSpaceDN w:val="0"/>
        <w:adjustRightInd w:val="0"/>
        <w:spacing w:after="0" w:line="280" w:lineRule="atLeast"/>
        <w:ind w:left="-851"/>
        <w:textAlignment w:val="baseline"/>
        <w:rPr>
          <w:sz w:val="21"/>
          <w:szCs w:val="21"/>
        </w:rPr>
      </w:pPr>
      <w:r>
        <w:rPr>
          <w:sz w:val="21"/>
          <w:szCs w:val="21"/>
        </w:rPr>
        <w:t>61.04 Απομείωση αποθεμάτων</w:t>
      </w:r>
      <w:r>
        <w:rPr>
          <w:sz w:val="21"/>
          <w:szCs w:val="21"/>
        </w:rPr>
        <w:tab/>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sz w:val="21"/>
          <w:szCs w:val="21"/>
        </w:rPr>
        <w:t>61.04.01 Απομείωση προϊόντος «Π»                                                       20.000</w:t>
      </w:r>
    </w:p>
    <w:p w:rsidR="00E54474" w:rsidRDefault="00E54474" w:rsidP="00E54474">
      <w:pPr>
        <w:autoSpaceDE w:val="0"/>
        <w:autoSpaceDN w:val="0"/>
        <w:adjustRightInd w:val="0"/>
        <w:spacing w:after="0" w:line="280" w:lineRule="atLeast"/>
        <w:ind w:left="-851"/>
        <w:textAlignment w:val="baseline"/>
        <w:rPr>
          <w:b/>
          <w:sz w:val="21"/>
          <w:szCs w:val="21"/>
        </w:rPr>
      </w:pPr>
      <w:r>
        <w:rPr>
          <w:b/>
          <w:sz w:val="21"/>
          <w:szCs w:val="21"/>
        </w:rPr>
        <w:t xml:space="preserve">    21 Προϊόντα</w:t>
      </w:r>
    </w:p>
    <w:p w:rsidR="00E54474" w:rsidRDefault="00E54474" w:rsidP="00E54474">
      <w:pPr>
        <w:autoSpaceDE w:val="0"/>
        <w:autoSpaceDN w:val="0"/>
        <w:adjustRightInd w:val="0"/>
        <w:spacing w:after="0" w:line="280" w:lineRule="atLeast"/>
        <w:ind w:left="-851"/>
        <w:textAlignment w:val="baseline"/>
        <w:rPr>
          <w:sz w:val="21"/>
          <w:szCs w:val="21"/>
        </w:rPr>
      </w:pPr>
      <w:r>
        <w:rPr>
          <w:sz w:val="21"/>
          <w:szCs w:val="21"/>
        </w:rPr>
        <w:t xml:space="preserve">    21.03 Απομείωση προϊόντων                                     </w:t>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sz w:val="21"/>
          <w:szCs w:val="21"/>
        </w:rPr>
        <w:t xml:space="preserve">    21.03.01 Απομείωση προϊόντος «Π»                                                                                                          20.000</w:t>
      </w:r>
    </w:p>
    <w:p w:rsidR="00E54474" w:rsidRDefault="00E54474" w:rsidP="00E54474">
      <w:pPr>
        <w:ind w:left="-851"/>
        <w:rPr>
          <w:b/>
          <w:bCs/>
        </w:rPr>
      </w:pPr>
      <w:r>
        <w:rPr>
          <w:b/>
          <w:sz w:val="21"/>
          <w:szCs w:val="21"/>
        </w:rPr>
        <w:t xml:space="preserve">Απομείωση προϊόντος «Π» </w:t>
      </w:r>
    </w:p>
    <w:p w:rsidR="00E54474" w:rsidRDefault="00E54474" w:rsidP="00E54474">
      <w:pPr>
        <w:ind w:left="-851"/>
        <w:rPr>
          <w:b/>
          <w:bCs/>
        </w:rPr>
      </w:pPr>
      <w:r>
        <w:rPr>
          <w:b/>
          <w:bCs/>
        </w:rPr>
        <w:t>Παράδειγμα 4</w:t>
      </w:r>
    </w:p>
    <w:p w:rsidR="00E54474" w:rsidRDefault="00E54474" w:rsidP="00E54474">
      <w:pPr>
        <w:ind w:left="-851"/>
        <w:rPr>
          <w:bCs/>
          <w:sz w:val="21"/>
          <w:szCs w:val="21"/>
        </w:rPr>
      </w:pPr>
      <w:r>
        <w:rPr>
          <w:bCs/>
          <w:sz w:val="21"/>
          <w:szCs w:val="21"/>
        </w:rPr>
        <w:t xml:space="preserve">    Την 31.12.20Χ1 η επιμέτρηση (αποτίμηση) του εμπορεύματος «Χ», δείχνει αξία €100.000 (1.000τεμ χ 100€/τεμ) η οποία προσδιορίστηκε με τη μέθοδο </w:t>
      </w:r>
      <w:r>
        <w:rPr>
          <w:bCs/>
          <w:sz w:val="21"/>
          <w:szCs w:val="21"/>
          <w:lang w:val="en-US"/>
        </w:rPr>
        <w:t>F</w:t>
      </w:r>
      <w:r>
        <w:rPr>
          <w:bCs/>
          <w:sz w:val="21"/>
          <w:szCs w:val="21"/>
        </w:rPr>
        <w:t>.</w:t>
      </w:r>
      <w:r>
        <w:rPr>
          <w:bCs/>
          <w:sz w:val="21"/>
          <w:szCs w:val="21"/>
          <w:lang w:val="en-US"/>
        </w:rPr>
        <w:t>I</w:t>
      </w:r>
      <w:r>
        <w:rPr>
          <w:bCs/>
          <w:sz w:val="21"/>
          <w:szCs w:val="21"/>
        </w:rPr>
        <w:t>.</w:t>
      </w:r>
      <w:r>
        <w:rPr>
          <w:bCs/>
          <w:sz w:val="21"/>
          <w:szCs w:val="21"/>
          <w:lang w:val="en-US"/>
        </w:rPr>
        <w:t>F</w:t>
      </w:r>
      <w:r>
        <w:rPr>
          <w:bCs/>
          <w:sz w:val="21"/>
          <w:szCs w:val="21"/>
        </w:rPr>
        <w:t>.</w:t>
      </w:r>
      <w:r>
        <w:rPr>
          <w:bCs/>
          <w:sz w:val="21"/>
          <w:szCs w:val="21"/>
          <w:lang w:val="en-US"/>
        </w:rPr>
        <w:t>O</w:t>
      </w:r>
      <w:r>
        <w:rPr>
          <w:bCs/>
          <w:sz w:val="21"/>
          <w:szCs w:val="21"/>
        </w:rPr>
        <w:t>. Η τιμή πώλησης του εμπορεύματος «Χ» την 31.12.20Χ1 ανέρχεται σε €80/τεμ., λόγω τεχνολογικής απαξίωσης, καθώς στην αγορά κυκλοφόρησε παρόμοιο βελτιωμένο εμπόρευμα που ώθησε προς τα κάτω την τιμή πώλησης. Την 31.12.20Χ2, η τιμή των παλαιοτέρων ποσοτήτων του εμπορεύματος διαμορφώθηκε στην αγορά σε €90/τεμ. και η οντότητα εξακολουθεί να κατέχει 400τεμ από το εμπόρευμα αυτό.</w:t>
      </w:r>
    </w:p>
    <w:p w:rsidR="00E54474" w:rsidRDefault="00E54474" w:rsidP="00E54474">
      <w:pPr>
        <w:ind w:left="-851"/>
        <w:rPr>
          <w:b/>
          <w:bCs/>
        </w:rPr>
      </w:pPr>
      <w:r>
        <w:rPr>
          <w:b/>
          <w:bCs/>
        </w:rPr>
        <w:t>Ζητείται</w:t>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b/>
          <w:sz w:val="21"/>
          <w:szCs w:val="21"/>
        </w:rPr>
        <w:t>α)</w:t>
      </w:r>
      <w:r>
        <w:rPr>
          <w:sz w:val="21"/>
          <w:szCs w:val="21"/>
        </w:rPr>
        <w:t xml:space="preserve"> Να γίνουν οι υπολογισμοί επιμέτρησης (αποτίμησης) του εμπορεύματος «Χ» την 31.12.20Χ1 και 31.12.20Χ2 και,</w:t>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b/>
          <w:sz w:val="21"/>
          <w:szCs w:val="21"/>
        </w:rPr>
        <w:t>β)</w:t>
      </w:r>
      <w:r>
        <w:rPr>
          <w:sz w:val="21"/>
          <w:szCs w:val="21"/>
        </w:rPr>
        <w:t xml:space="preserve"> να γίνουν οι αντίστοιχες ημερολογιακές εγγραφές στα λογιστικά αρχεία της οντότητας.</w:t>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p>
    <w:p w:rsidR="00E54474" w:rsidRDefault="00E54474" w:rsidP="00E54474">
      <w:pPr>
        <w:ind w:left="-851"/>
        <w:rPr>
          <w:b/>
        </w:rPr>
      </w:pPr>
      <w:r>
        <w:rPr>
          <w:b/>
        </w:rPr>
        <w:t>Ανάλυση-λύση</w:t>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b/>
          <w:sz w:val="21"/>
          <w:szCs w:val="21"/>
        </w:rPr>
        <w:t>α)</w:t>
      </w:r>
      <w:r>
        <w:rPr>
          <w:sz w:val="21"/>
          <w:szCs w:val="21"/>
        </w:rPr>
        <w:t xml:space="preserve"> Την 31.12.20Χ1, το εμπόρευμα «Χ», πρέπει να αποτιμηθεί στην κατ’ είδος χαμηλότερη αξία μεταξύ του κόστους κτήσεως και της καθαρής ρευστοποιήσιμης αξίας, ώστε να διασφαλίζεται ότι η αξία του τελικού αποθέματος παρουσιάζεται πάντοτε σε ποσό που είναι ανακτήσιμο. Επομένως, η αποτίμηση θα γίνει στη χαμηλότερη αξία μεταξύ του κόστους κτήσεως ποσού €100.000 (1.000τεμ χ 100€/τεμ) και της καθαρής ρευστοποιήσιμης αξίας του εμπορεύματος «Χ», δηλαδή στο ποσό των €80.000 (1.000τεμ χ 80€/τεμ). Στην περίπτωση αυτή η καθαρή ρευστοποιήσιμη αξία είναι €80.000 και όχι το ποσό των €100.000, και ως εκ τούτου θα εγγραφεί ζημία απομείωσης €20.000 (€100.000-€80.000) με μείωση του τελικού αποθέματος και</w:t>
      </w:r>
      <w:r>
        <w:rPr>
          <w:rFonts w:ascii="Arial" w:hAnsi="Arial" w:cs="Arial"/>
        </w:rPr>
        <w:t xml:space="preserve"> </w:t>
      </w:r>
      <w:r>
        <w:rPr>
          <w:sz w:val="21"/>
          <w:szCs w:val="21"/>
        </w:rPr>
        <w:t xml:space="preserve">αντίστοιχης χρεώσεως του λογαριασμού «Ζημίες επιμέτρησης περιουσιακών στοιχείων-απομείωση αποθεμάτων».  </w:t>
      </w:r>
    </w:p>
    <w:p w:rsidR="00E54474" w:rsidRDefault="00E54474" w:rsidP="00E54474">
      <w:pPr>
        <w:tabs>
          <w:tab w:val="left" w:pos="5460"/>
        </w:tabs>
        <w:autoSpaceDE w:val="0"/>
        <w:autoSpaceDN w:val="0"/>
        <w:adjustRightInd w:val="0"/>
        <w:spacing w:line="280" w:lineRule="atLeast"/>
        <w:ind w:left="-851"/>
        <w:textAlignment w:val="baseline"/>
        <w:rPr>
          <w:bCs/>
          <w:sz w:val="21"/>
          <w:szCs w:val="21"/>
        </w:rPr>
      </w:pPr>
      <w:r>
        <w:rPr>
          <w:b/>
          <w:sz w:val="21"/>
          <w:szCs w:val="21"/>
        </w:rPr>
        <w:t>β)</w:t>
      </w:r>
      <w:r>
        <w:rPr>
          <w:sz w:val="21"/>
          <w:szCs w:val="21"/>
        </w:rPr>
        <w:t xml:space="preserve"> Την 31.12.20Χ2,</w:t>
      </w:r>
      <w:r>
        <w:rPr>
          <w:bCs/>
          <w:sz w:val="21"/>
          <w:szCs w:val="21"/>
        </w:rPr>
        <w:t xml:space="preserve"> επειδή η τιμή των παλαιοτέρων ποσοτήτων του εμπορεύματος διαμορφώθηκε στην αγορά σε €90/τεμ. (ανατίμηση) και έχουν παραμείνει αδιάθετα 400 τεμάχια από την ποσότητα αυτή, θα πρέπει να γίνει αναστροφή της προηγούμενης ζημίας απομείωσης και προσαρμογή του κόστους ανά τεμάχιο σε €4.000 [ (€90-€80) χ 400τεμ]. Η εγγραφή της αναστροφής της ζημίας που διαμορφώθηκε από τις νέες συνθήκες της αγοράς θα γίνει με χρέωση των αποθεμάτων και  αντίστοιχη πίστωση του λογαριασμού «Κέρδη από αναστροφή απομείωσης αποθεμάτων». </w:t>
      </w:r>
    </w:p>
    <w:p w:rsidR="00E54474" w:rsidRDefault="00E54474" w:rsidP="00E54474">
      <w:pPr>
        <w:tabs>
          <w:tab w:val="left" w:pos="5460"/>
        </w:tabs>
        <w:autoSpaceDE w:val="0"/>
        <w:autoSpaceDN w:val="0"/>
        <w:adjustRightInd w:val="0"/>
        <w:spacing w:after="0" w:line="280" w:lineRule="atLeast"/>
        <w:ind w:left="-851"/>
        <w:textAlignment w:val="baseline"/>
        <w:rPr>
          <w:b/>
        </w:rPr>
      </w:pPr>
    </w:p>
    <w:p w:rsidR="00297368" w:rsidRDefault="00297368" w:rsidP="00E54474">
      <w:pPr>
        <w:tabs>
          <w:tab w:val="left" w:pos="5460"/>
        </w:tabs>
        <w:autoSpaceDE w:val="0"/>
        <w:autoSpaceDN w:val="0"/>
        <w:adjustRightInd w:val="0"/>
        <w:spacing w:after="0" w:line="280" w:lineRule="atLeast"/>
        <w:ind w:left="-851"/>
        <w:textAlignment w:val="baseline"/>
        <w:rPr>
          <w:b/>
        </w:rPr>
      </w:pPr>
    </w:p>
    <w:p w:rsidR="00297368" w:rsidRDefault="00297368" w:rsidP="00E54474">
      <w:pPr>
        <w:tabs>
          <w:tab w:val="left" w:pos="5460"/>
        </w:tabs>
        <w:autoSpaceDE w:val="0"/>
        <w:autoSpaceDN w:val="0"/>
        <w:adjustRightInd w:val="0"/>
        <w:spacing w:after="0" w:line="280" w:lineRule="atLeast"/>
        <w:ind w:left="-851"/>
        <w:textAlignment w:val="baseline"/>
        <w:rPr>
          <w:b/>
        </w:rPr>
      </w:pPr>
    </w:p>
    <w:p w:rsidR="00297368" w:rsidRDefault="00297368" w:rsidP="00E54474">
      <w:pPr>
        <w:tabs>
          <w:tab w:val="left" w:pos="5460"/>
        </w:tabs>
        <w:autoSpaceDE w:val="0"/>
        <w:autoSpaceDN w:val="0"/>
        <w:adjustRightInd w:val="0"/>
        <w:spacing w:after="0" w:line="280" w:lineRule="atLeast"/>
        <w:ind w:left="-851"/>
        <w:textAlignment w:val="baseline"/>
        <w:rPr>
          <w:b/>
        </w:rPr>
      </w:pPr>
    </w:p>
    <w:p w:rsidR="00297368" w:rsidRDefault="00297368" w:rsidP="00E54474">
      <w:pPr>
        <w:tabs>
          <w:tab w:val="left" w:pos="5460"/>
        </w:tabs>
        <w:autoSpaceDE w:val="0"/>
        <w:autoSpaceDN w:val="0"/>
        <w:adjustRightInd w:val="0"/>
        <w:spacing w:after="0" w:line="280" w:lineRule="atLeast"/>
        <w:ind w:left="-851"/>
        <w:textAlignment w:val="baseline"/>
        <w:rPr>
          <w:b/>
        </w:rPr>
      </w:pPr>
    </w:p>
    <w:p w:rsidR="00297368" w:rsidRDefault="00297368" w:rsidP="00E54474">
      <w:pPr>
        <w:tabs>
          <w:tab w:val="left" w:pos="5460"/>
        </w:tabs>
        <w:autoSpaceDE w:val="0"/>
        <w:autoSpaceDN w:val="0"/>
        <w:adjustRightInd w:val="0"/>
        <w:spacing w:after="0" w:line="280" w:lineRule="atLeast"/>
        <w:ind w:left="-851"/>
        <w:textAlignment w:val="baseline"/>
        <w:rPr>
          <w:b/>
        </w:rPr>
      </w:pPr>
    </w:p>
    <w:p w:rsidR="00297368" w:rsidRDefault="00297368" w:rsidP="00E54474">
      <w:pPr>
        <w:tabs>
          <w:tab w:val="left" w:pos="5460"/>
        </w:tabs>
        <w:autoSpaceDE w:val="0"/>
        <w:autoSpaceDN w:val="0"/>
        <w:adjustRightInd w:val="0"/>
        <w:spacing w:after="0" w:line="280" w:lineRule="atLeast"/>
        <w:ind w:left="-851"/>
        <w:textAlignment w:val="baseline"/>
        <w:rPr>
          <w:b/>
        </w:rPr>
      </w:pPr>
    </w:p>
    <w:p w:rsidR="00297368" w:rsidRDefault="00297368" w:rsidP="00E54474">
      <w:pPr>
        <w:tabs>
          <w:tab w:val="left" w:pos="5460"/>
        </w:tabs>
        <w:autoSpaceDE w:val="0"/>
        <w:autoSpaceDN w:val="0"/>
        <w:adjustRightInd w:val="0"/>
        <w:spacing w:after="0" w:line="280" w:lineRule="atLeast"/>
        <w:ind w:left="-851"/>
        <w:textAlignment w:val="baseline"/>
        <w:rPr>
          <w:b/>
        </w:rPr>
      </w:pPr>
    </w:p>
    <w:p w:rsidR="00297368" w:rsidRDefault="00297368" w:rsidP="00E54474">
      <w:pPr>
        <w:tabs>
          <w:tab w:val="left" w:pos="5460"/>
        </w:tabs>
        <w:autoSpaceDE w:val="0"/>
        <w:autoSpaceDN w:val="0"/>
        <w:adjustRightInd w:val="0"/>
        <w:spacing w:after="0" w:line="280" w:lineRule="atLeast"/>
        <w:ind w:left="-851"/>
        <w:textAlignment w:val="baseline"/>
        <w:rPr>
          <w:b/>
        </w:rPr>
      </w:pPr>
    </w:p>
    <w:p w:rsidR="00E54474" w:rsidRDefault="00E54474" w:rsidP="00E54474">
      <w:pPr>
        <w:tabs>
          <w:tab w:val="left" w:pos="5460"/>
        </w:tabs>
        <w:autoSpaceDE w:val="0"/>
        <w:autoSpaceDN w:val="0"/>
        <w:adjustRightInd w:val="0"/>
        <w:spacing w:after="0" w:line="280" w:lineRule="atLeast"/>
        <w:ind w:left="-851"/>
        <w:textAlignment w:val="baseline"/>
        <w:rPr>
          <w:b/>
        </w:rPr>
      </w:pPr>
      <w:r>
        <w:rPr>
          <w:b/>
        </w:rPr>
        <w:t>Ημερολογιακές εγγραφές απομείωσης και αναστροφής</w:t>
      </w:r>
    </w:p>
    <w:p w:rsidR="00E54474" w:rsidRDefault="00E54474" w:rsidP="00E54474">
      <w:pPr>
        <w:ind w:left="-851"/>
        <w:rPr>
          <w:sz w:val="21"/>
          <w:szCs w:val="21"/>
        </w:rPr>
      </w:pPr>
    </w:p>
    <w:p w:rsidR="00E54474" w:rsidRDefault="00E54474" w:rsidP="00E54474">
      <w:pPr>
        <w:ind w:left="-851"/>
        <w:rPr>
          <w:sz w:val="21"/>
          <w:szCs w:val="21"/>
        </w:rPr>
      </w:pPr>
      <w:r>
        <w:rPr>
          <w:sz w:val="21"/>
          <w:szCs w:val="21"/>
        </w:rPr>
        <w:t xml:space="preserve"> ……………………………………………………</w:t>
      </w:r>
      <w:r>
        <w:rPr>
          <w:b/>
          <w:sz w:val="21"/>
          <w:szCs w:val="21"/>
        </w:rPr>
        <w:t>31-12-20Χ1</w:t>
      </w:r>
      <w:r>
        <w:rPr>
          <w:sz w:val="21"/>
          <w:szCs w:val="21"/>
        </w:rPr>
        <w:t>………………………………………………</w:t>
      </w:r>
    </w:p>
    <w:p w:rsidR="00E54474" w:rsidRDefault="00E54474" w:rsidP="00E54474">
      <w:pPr>
        <w:autoSpaceDE w:val="0"/>
        <w:autoSpaceDN w:val="0"/>
        <w:adjustRightInd w:val="0"/>
        <w:spacing w:after="0" w:line="280" w:lineRule="atLeast"/>
        <w:ind w:left="-851"/>
        <w:textAlignment w:val="baseline"/>
        <w:rPr>
          <w:b/>
          <w:sz w:val="21"/>
          <w:szCs w:val="21"/>
        </w:rPr>
      </w:pPr>
      <w:r>
        <w:rPr>
          <w:b/>
          <w:sz w:val="21"/>
          <w:szCs w:val="21"/>
        </w:rPr>
        <w:t>61 Ζημίες επιμέτρησης περιουσιακών στοιχείων</w:t>
      </w:r>
    </w:p>
    <w:p w:rsidR="00E54474" w:rsidRDefault="00E54474" w:rsidP="00E54474">
      <w:pPr>
        <w:tabs>
          <w:tab w:val="left" w:pos="5970"/>
        </w:tabs>
        <w:autoSpaceDE w:val="0"/>
        <w:autoSpaceDN w:val="0"/>
        <w:adjustRightInd w:val="0"/>
        <w:spacing w:after="0" w:line="280" w:lineRule="atLeast"/>
        <w:ind w:left="-851"/>
        <w:textAlignment w:val="baseline"/>
        <w:rPr>
          <w:sz w:val="21"/>
          <w:szCs w:val="21"/>
        </w:rPr>
      </w:pPr>
      <w:r>
        <w:rPr>
          <w:sz w:val="21"/>
          <w:szCs w:val="21"/>
        </w:rPr>
        <w:t>61.04 Απομείωση αποθεμάτων</w:t>
      </w:r>
      <w:r>
        <w:rPr>
          <w:sz w:val="21"/>
          <w:szCs w:val="21"/>
        </w:rPr>
        <w:tab/>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sz w:val="21"/>
          <w:szCs w:val="21"/>
        </w:rPr>
        <w:t>61.04.01 Απομείωση εμπορεύματος «Χ»                                                       20.000</w:t>
      </w:r>
    </w:p>
    <w:p w:rsidR="00E54474" w:rsidRDefault="00E54474" w:rsidP="00E54474">
      <w:pPr>
        <w:autoSpaceDE w:val="0"/>
        <w:autoSpaceDN w:val="0"/>
        <w:adjustRightInd w:val="0"/>
        <w:spacing w:after="0" w:line="280" w:lineRule="atLeast"/>
        <w:ind w:left="-851"/>
        <w:textAlignment w:val="baseline"/>
        <w:rPr>
          <w:b/>
          <w:sz w:val="21"/>
          <w:szCs w:val="21"/>
        </w:rPr>
      </w:pPr>
      <w:r>
        <w:rPr>
          <w:b/>
          <w:sz w:val="21"/>
          <w:szCs w:val="21"/>
        </w:rPr>
        <w:t xml:space="preserve">    20 Εμπορεύματα</w:t>
      </w:r>
    </w:p>
    <w:p w:rsidR="00E54474" w:rsidRDefault="00E54474" w:rsidP="00E54474">
      <w:pPr>
        <w:autoSpaceDE w:val="0"/>
        <w:autoSpaceDN w:val="0"/>
        <w:adjustRightInd w:val="0"/>
        <w:spacing w:after="0" w:line="280" w:lineRule="atLeast"/>
        <w:ind w:left="-851"/>
        <w:textAlignment w:val="baseline"/>
        <w:rPr>
          <w:sz w:val="21"/>
          <w:szCs w:val="21"/>
        </w:rPr>
      </w:pPr>
      <w:r>
        <w:rPr>
          <w:sz w:val="21"/>
          <w:szCs w:val="21"/>
        </w:rPr>
        <w:t xml:space="preserve">    20.05 Απομείωση εμπορευμάτων                                     </w:t>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sz w:val="21"/>
          <w:szCs w:val="21"/>
        </w:rPr>
        <w:t xml:space="preserve">    20.05.01 Απομείωση εμπορεύματος «Χ»                                                                                                20.000                   </w:t>
      </w:r>
    </w:p>
    <w:p w:rsidR="00E54474" w:rsidRDefault="00E54474" w:rsidP="00E54474">
      <w:pPr>
        <w:ind w:left="-851"/>
        <w:rPr>
          <w:b/>
          <w:bCs/>
        </w:rPr>
      </w:pPr>
      <w:r>
        <w:rPr>
          <w:b/>
          <w:sz w:val="21"/>
          <w:szCs w:val="21"/>
        </w:rPr>
        <w:t xml:space="preserve">Απομείωση εμπορεύματος «Χ» </w:t>
      </w:r>
    </w:p>
    <w:p w:rsidR="00E54474" w:rsidRDefault="00E54474" w:rsidP="00E54474">
      <w:pPr>
        <w:ind w:left="-851"/>
        <w:rPr>
          <w:sz w:val="21"/>
          <w:szCs w:val="21"/>
        </w:rPr>
      </w:pPr>
      <w:r>
        <w:rPr>
          <w:sz w:val="21"/>
          <w:szCs w:val="21"/>
        </w:rPr>
        <w:t>……………………………………………………</w:t>
      </w:r>
      <w:r>
        <w:rPr>
          <w:b/>
          <w:sz w:val="21"/>
          <w:szCs w:val="21"/>
        </w:rPr>
        <w:t>31-12-20Χ2</w:t>
      </w:r>
      <w:r>
        <w:rPr>
          <w:sz w:val="21"/>
          <w:szCs w:val="21"/>
        </w:rPr>
        <w:t>………………………………………………</w:t>
      </w:r>
    </w:p>
    <w:p w:rsidR="00E54474" w:rsidRDefault="00E54474" w:rsidP="00E54474">
      <w:pPr>
        <w:autoSpaceDE w:val="0"/>
        <w:autoSpaceDN w:val="0"/>
        <w:adjustRightInd w:val="0"/>
        <w:spacing w:after="0" w:line="280" w:lineRule="atLeast"/>
        <w:ind w:left="-851"/>
        <w:textAlignment w:val="baseline"/>
        <w:rPr>
          <w:b/>
          <w:sz w:val="21"/>
          <w:szCs w:val="21"/>
        </w:rPr>
      </w:pPr>
      <w:r>
        <w:rPr>
          <w:b/>
          <w:sz w:val="21"/>
          <w:szCs w:val="21"/>
        </w:rPr>
        <w:t>20 Εμπορεύματα</w:t>
      </w:r>
    </w:p>
    <w:p w:rsidR="00E54474" w:rsidRDefault="00E54474" w:rsidP="00E54474">
      <w:pPr>
        <w:autoSpaceDE w:val="0"/>
        <w:autoSpaceDN w:val="0"/>
        <w:adjustRightInd w:val="0"/>
        <w:spacing w:after="0" w:line="280" w:lineRule="atLeast"/>
        <w:ind w:left="-851"/>
        <w:textAlignment w:val="baseline"/>
        <w:rPr>
          <w:sz w:val="21"/>
          <w:szCs w:val="21"/>
        </w:rPr>
      </w:pPr>
      <w:r>
        <w:rPr>
          <w:sz w:val="21"/>
          <w:szCs w:val="21"/>
        </w:rPr>
        <w:t xml:space="preserve">20.05 Απομείωση εμπορευμάτων                                     </w:t>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sz w:val="21"/>
          <w:szCs w:val="21"/>
        </w:rPr>
        <w:t xml:space="preserve">20.05.01 Απομείωση εμπορεύματος «Χ»                                                         4.000                   </w:t>
      </w:r>
    </w:p>
    <w:p w:rsidR="00E54474" w:rsidRDefault="00E54474" w:rsidP="00E54474">
      <w:pPr>
        <w:autoSpaceDE w:val="0"/>
        <w:autoSpaceDN w:val="0"/>
        <w:adjustRightInd w:val="0"/>
        <w:spacing w:after="0" w:line="280" w:lineRule="atLeast"/>
        <w:ind w:left="-851"/>
        <w:textAlignment w:val="baseline"/>
        <w:rPr>
          <w:b/>
          <w:sz w:val="21"/>
          <w:szCs w:val="21"/>
        </w:rPr>
      </w:pPr>
      <w:r>
        <w:rPr>
          <w:b/>
          <w:sz w:val="21"/>
          <w:szCs w:val="21"/>
        </w:rPr>
        <w:t xml:space="preserve">     76 Κέρδη από αναστροφή προβλέψεων και απομειώσεων</w:t>
      </w:r>
    </w:p>
    <w:p w:rsidR="00E54474" w:rsidRDefault="00E54474" w:rsidP="00E54474">
      <w:pPr>
        <w:tabs>
          <w:tab w:val="left" w:pos="5970"/>
        </w:tabs>
        <w:autoSpaceDE w:val="0"/>
        <w:autoSpaceDN w:val="0"/>
        <w:adjustRightInd w:val="0"/>
        <w:spacing w:after="0" w:line="280" w:lineRule="atLeast"/>
        <w:ind w:left="-851"/>
        <w:textAlignment w:val="baseline"/>
        <w:rPr>
          <w:sz w:val="21"/>
          <w:szCs w:val="21"/>
        </w:rPr>
      </w:pPr>
      <w:r>
        <w:rPr>
          <w:sz w:val="21"/>
          <w:szCs w:val="21"/>
        </w:rPr>
        <w:t xml:space="preserve">     76.09 Κέρδη από αναστροφή απομείωσης αποθεμάτων</w:t>
      </w:r>
      <w:r>
        <w:rPr>
          <w:sz w:val="21"/>
          <w:szCs w:val="21"/>
        </w:rPr>
        <w:tab/>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sz w:val="21"/>
          <w:szCs w:val="21"/>
        </w:rPr>
        <w:t xml:space="preserve">     76.09.01 Κέρδη από αναστροφή απομείωσης εμπορεύματος «Χ»                                                                  4.000 </w:t>
      </w:r>
      <w:r>
        <w:rPr>
          <w:b/>
          <w:sz w:val="21"/>
          <w:szCs w:val="21"/>
        </w:rPr>
        <w:t xml:space="preserve">    </w:t>
      </w:r>
    </w:p>
    <w:p w:rsidR="00E54474" w:rsidRDefault="00E54474" w:rsidP="00E54474">
      <w:pPr>
        <w:ind w:left="-851"/>
        <w:rPr>
          <w:b/>
          <w:bCs/>
        </w:rPr>
      </w:pPr>
      <w:r>
        <w:rPr>
          <w:b/>
          <w:sz w:val="21"/>
          <w:szCs w:val="21"/>
        </w:rPr>
        <w:t>Κέρδη από αναστροφή απομείωσης</w:t>
      </w:r>
      <w:r>
        <w:rPr>
          <w:sz w:val="21"/>
          <w:szCs w:val="21"/>
        </w:rPr>
        <w:t xml:space="preserve"> </w:t>
      </w:r>
      <w:r>
        <w:rPr>
          <w:b/>
          <w:sz w:val="21"/>
          <w:szCs w:val="21"/>
        </w:rPr>
        <w:t xml:space="preserve">εμπορεύματος «Χ» </w:t>
      </w:r>
    </w:p>
    <w:p w:rsidR="00E54474" w:rsidRDefault="00E54474" w:rsidP="00E54474">
      <w:pPr>
        <w:ind w:left="-851"/>
        <w:rPr>
          <w:b/>
          <w:bCs/>
        </w:rPr>
      </w:pPr>
      <w:r>
        <w:rPr>
          <w:b/>
          <w:bCs/>
        </w:rPr>
        <w:t>Παράδειγμα 5</w:t>
      </w:r>
    </w:p>
    <w:p w:rsidR="00E54474" w:rsidRDefault="00E54474" w:rsidP="00E54474">
      <w:pPr>
        <w:autoSpaceDE w:val="0"/>
        <w:autoSpaceDN w:val="0"/>
        <w:adjustRightInd w:val="0"/>
        <w:spacing w:after="0" w:line="280" w:lineRule="atLeast"/>
        <w:ind w:left="-851"/>
        <w:textAlignment w:val="baseline"/>
        <w:rPr>
          <w:sz w:val="21"/>
          <w:szCs w:val="21"/>
        </w:rPr>
      </w:pPr>
      <w:r>
        <w:rPr>
          <w:sz w:val="21"/>
          <w:szCs w:val="21"/>
        </w:rPr>
        <w:t xml:space="preserve">    Κατά τη διάρκεια του μηνός Ιανουαρίου 20Χ1 (ο οποίος λαμβάνεται ως μια πλήρης διαχειριστική περίοδος), η οντότητα «Χ» πραγματοποίησε αγορές και πωλήσεις από το εμπόρευμα «Ε» οι οποίες παρουσιάζονται στον ακόλουθο πίνακα: </w:t>
      </w:r>
    </w:p>
    <w:p w:rsidR="00E54474" w:rsidRDefault="00E54474" w:rsidP="00E54474">
      <w:pPr>
        <w:pStyle w:val="keimeno"/>
        <w:ind w:left="-851" w:firstLine="0"/>
      </w:pPr>
    </w:p>
    <w:tbl>
      <w:tblPr>
        <w:tblW w:w="9045" w:type="dxa"/>
        <w:tblInd w:w="-794" w:type="dxa"/>
        <w:tblLayout w:type="fixed"/>
        <w:tblCellMar>
          <w:left w:w="0" w:type="dxa"/>
          <w:right w:w="0" w:type="dxa"/>
        </w:tblCellMar>
        <w:tblLook w:val="04A0" w:firstRow="1" w:lastRow="0" w:firstColumn="1" w:lastColumn="0" w:noHBand="0" w:noVBand="1"/>
      </w:tblPr>
      <w:tblGrid>
        <w:gridCol w:w="879"/>
        <w:gridCol w:w="1280"/>
        <w:gridCol w:w="1256"/>
        <w:gridCol w:w="342"/>
        <w:gridCol w:w="1216"/>
        <w:gridCol w:w="369"/>
        <w:gridCol w:w="911"/>
        <w:gridCol w:w="1395"/>
        <w:gridCol w:w="1397"/>
      </w:tblGrid>
      <w:tr w:rsidR="00E54474" w:rsidTr="00E54474">
        <w:trPr>
          <w:trHeight w:val="337"/>
        </w:trPr>
        <w:tc>
          <w:tcPr>
            <w:tcW w:w="8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E54474" w:rsidRDefault="00E54474">
            <w:pPr>
              <w:pStyle w:val="NoParagraphStyle"/>
              <w:spacing w:line="240" w:lineRule="auto"/>
              <w:rPr>
                <w:rFonts w:ascii="Times New Roman" w:hAnsi="Times New Roman" w:cs="Times New Roman"/>
                <w:color w:val="auto"/>
                <w:sz w:val="21"/>
                <w:szCs w:val="21"/>
                <w:lang w:eastAsia="en-US"/>
              </w:rPr>
            </w:pPr>
          </w:p>
        </w:tc>
        <w:tc>
          <w:tcPr>
            <w:tcW w:w="128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E54474" w:rsidRDefault="00E54474">
            <w:pPr>
              <w:pStyle w:val="NoParagraphStyle"/>
              <w:spacing w:line="240" w:lineRule="auto"/>
              <w:rPr>
                <w:rFonts w:ascii="Times New Roman" w:hAnsi="Times New Roman" w:cs="Times New Roman"/>
                <w:color w:val="auto"/>
                <w:sz w:val="21"/>
                <w:szCs w:val="21"/>
                <w:lang w:eastAsia="en-US"/>
              </w:rPr>
            </w:pPr>
          </w:p>
        </w:tc>
        <w:tc>
          <w:tcPr>
            <w:tcW w:w="2816" w:type="dxa"/>
            <w:gridSpan w:val="3"/>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b/>
                <w:bCs/>
                <w:sz w:val="21"/>
                <w:szCs w:val="21"/>
                <w:lang w:eastAsia="en-US"/>
              </w:rPr>
              <w:t>Αγορές</w:t>
            </w:r>
          </w:p>
        </w:tc>
        <w:tc>
          <w:tcPr>
            <w:tcW w:w="3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E54474" w:rsidRDefault="00E54474">
            <w:pPr>
              <w:pStyle w:val="NoParagraphStyle"/>
              <w:spacing w:line="240" w:lineRule="auto"/>
              <w:rPr>
                <w:rFonts w:ascii="Times New Roman" w:hAnsi="Times New Roman" w:cs="Times New Roman"/>
                <w:color w:val="auto"/>
                <w:sz w:val="21"/>
                <w:szCs w:val="21"/>
                <w:lang w:eastAsia="en-US"/>
              </w:rPr>
            </w:pPr>
          </w:p>
        </w:tc>
        <w:tc>
          <w:tcPr>
            <w:tcW w:w="91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E54474" w:rsidRDefault="00E54474">
            <w:pPr>
              <w:pStyle w:val="NoParagraphStyle"/>
              <w:spacing w:line="240" w:lineRule="auto"/>
              <w:rPr>
                <w:rFonts w:ascii="Times New Roman" w:hAnsi="Times New Roman" w:cs="Times New Roman"/>
                <w:color w:val="auto"/>
                <w:sz w:val="21"/>
                <w:szCs w:val="21"/>
                <w:lang w:eastAsia="en-US"/>
              </w:rPr>
            </w:pPr>
          </w:p>
        </w:tc>
        <w:tc>
          <w:tcPr>
            <w:tcW w:w="139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b/>
                <w:bCs/>
                <w:sz w:val="21"/>
                <w:szCs w:val="21"/>
                <w:lang w:eastAsia="en-US"/>
              </w:rPr>
              <w:t>Πωλήσεις</w:t>
            </w:r>
          </w:p>
        </w:tc>
        <w:tc>
          <w:tcPr>
            <w:tcW w:w="139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b/>
                <w:bCs/>
                <w:sz w:val="21"/>
                <w:szCs w:val="21"/>
                <w:lang w:eastAsia="en-US"/>
              </w:rPr>
              <w:t>Υπόλοιπο</w:t>
            </w:r>
          </w:p>
        </w:tc>
      </w:tr>
      <w:tr w:rsidR="00E54474" w:rsidTr="00E54474">
        <w:trPr>
          <w:trHeight w:val="651"/>
        </w:trPr>
        <w:tc>
          <w:tcPr>
            <w:tcW w:w="8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E54474" w:rsidRDefault="00E54474">
            <w:pPr>
              <w:pStyle w:val="NoParagraphStyle"/>
              <w:spacing w:line="240" w:lineRule="auto"/>
              <w:rPr>
                <w:rFonts w:ascii="Times New Roman" w:hAnsi="Times New Roman" w:cs="Times New Roman"/>
                <w:color w:val="auto"/>
                <w:sz w:val="21"/>
                <w:szCs w:val="21"/>
                <w:lang w:eastAsia="en-US"/>
              </w:rPr>
            </w:pPr>
          </w:p>
        </w:tc>
        <w:tc>
          <w:tcPr>
            <w:tcW w:w="128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E54474" w:rsidRDefault="00E54474">
            <w:pPr>
              <w:pStyle w:val="NoParagraphStyle"/>
              <w:spacing w:line="240" w:lineRule="auto"/>
              <w:rPr>
                <w:rFonts w:ascii="Times New Roman" w:hAnsi="Times New Roman" w:cs="Times New Roman"/>
                <w:color w:val="auto"/>
                <w:sz w:val="21"/>
                <w:szCs w:val="21"/>
                <w:lang w:eastAsia="en-US"/>
              </w:rPr>
            </w:pPr>
          </w:p>
        </w:tc>
        <w:tc>
          <w:tcPr>
            <w:tcW w:w="125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b/>
                <w:bCs/>
                <w:sz w:val="21"/>
                <w:szCs w:val="21"/>
                <w:lang w:eastAsia="en-US"/>
              </w:rPr>
              <w:t>Μονάδες</w:t>
            </w:r>
          </w:p>
        </w:tc>
        <w:tc>
          <w:tcPr>
            <w:tcW w:w="34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E54474" w:rsidRDefault="00E54474">
            <w:pPr>
              <w:pStyle w:val="NoParagraphStyle"/>
              <w:spacing w:line="240" w:lineRule="auto"/>
              <w:rPr>
                <w:rFonts w:ascii="Times New Roman" w:hAnsi="Times New Roman" w:cs="Times New Roman"/>
                <w:color w:val="auto"/>
                <w:sz w:val="21"/>
                <w:szCs w:val="21"/>
                <w:lang w:eastAsia="en-US"/>
              </w:rPr>
            </w:pPr>
          </w:p>
        </w:tc>
        <w:tc>
          <w:tcPr>
            <w:tcW w:w="121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b/>
                <w:bCs/>
                <w:sz w:val="21"/>
                <w:szCs w:val="21"/>
                <w:lang w:eastAsia="en-US"/>
              </w:rPr>
              <w:t>Κόστος μονάδος</w:t>
            </w:r>
          </w:p>
        </w:tc>
        <w:tc>
          <w:tcPr>
            <w:tcW w:w="3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E54474" w:rsidRDefault="00E54474">
            <w:pPr>
              <w:pStyle w:val="NoParagraphStyle"/>
              <w:spacing w:line="240" w:lineRule="auto"/>
              <w:rPr>
                <w:rFonts w:ascii="Times New Roman" w:hAnsi="Times New Roman" w:cs="Times New Roman"/>
                <w:color w:val="auto"/>
                <w:sz w:val="21"/>
                <w:szCs w:val="21"/>
                <w:lang w:eastAsia="en-US"/>
              </w:rPr>
            </w:pPr>
          </w:p>
        </w:tc>
        <w:tc>
          <w:tcPr>
            <w:tcW w:w="91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b/>
                <w:bCs/>
                <w:sz w:val="21"/>
                <w:szCs w:val="21"/>
                <w:lang w:eastAsia="en-US"/>
              </w:rPr>
              <w:t>Αξία</w:t>
            </w:r>
          </w:p>
        </w:tc>
        <w:tc>
          <w:tcPr>
            <w:tcW w:w="139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b/>
                <w:bCs/>
                <w:sz w:val="21"/>
                <w:szCs w:val="21"/>
                <w:lang w:eastAsia="en-US"/>
              </w:rPr>
              <w:t>Μονάδες</w:t>
            </w:r>
          </w:p>
        </w:tc>
        <w:tc>
          <w:tcPr>
            <w:tcW w:w="139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b/>
                <w:bCs/>
                <w:sz w:val="21"/>
                <w:szCs w:val="21"/>
                <w:lang w:eastAsia="en-US"/>
              </w:rPr>
              <w:t xml:space="preserve">Μονάδες </w:t>
            </w:r>
          </w:p>
        </w:tc>
      </w:tr>
      <w:tr w:rsidR="00E54474" w:rsidTr="00E54474">
        <w:trPr>
          <w:trHeight w:val="79"/>
        </w:trPr>
        <w:tc>
          <w:tcPr>
            <w:tcW w:w="8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rPr>
                <w:rFonts w:ascii="Times New Roman" w:hAnsi="Times New Roman" w:cs="Times New Roman"/>
                <w:sz w:val="21"/>
                <w:szCs w:val="21"/>
                <w:lang w:eastAsia="en-US"/>
              </w:rPr>
            </w:pPr>
            <w:r>
              <w:rPr>
                <w:rFonts w:ascii="Times New Roman" w:hAnsi="Times New Roman" w:cs="Times New Roman"/>
                <w:sz w:val="21"/>
                <w:szCs w:val="21"/>
                <w:lang w:eastAsia="en-US"/>
              </w:rPr>
              <w:t>Ιαν. 1</w:t>
            </w:r>
          </w:p>
        </w:tc>
        <w:tc>
          <w:tcPr>
            <w:tcW w:w="128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rPr>
                <w:rFonts w:ascii="Times New Roman" w:hAnsi="Times New Roman" w:cs="Times New Roman"/>
                <w:sz w:val="21"/>
                <w:szCs w:val="21"/>
                <w:lang w:eastAsia="en-US"/>
              </w:rPr>
            </w:pPr>
            <w:r>
              <w:rPr>
                <w:rFonts w:ascii="Times New Roman" w:hAnsi="Times New Roman" w:cs="Times New Roman"/>
                <w:sz w:val="21"/>
                <w:szCs w:val="21"/>
                <w:lang w:eastAsia="en-US"/>
              </w:rPr>
              <w:t>Απόθεμα</w:t>
            </w:r>
          </w:p>
          <w:p w:rsidR="00E54474" w:rsidRDefault="00E54474">
            <w:pPr>
              <w:pStyle w:val="pinakaskeimeno"/>
              <w:rPr>
                <w:rFonts w:ascii="Times New Roman" w:hAnsi="Times New Roman" w:cs="Times New Roman"/>
                <w:sz w:val="21"/>
                <w:szCs w:val="21"/>
                <w:lang w:eastAsia="en-US"/>
              </w:rPr>
            </w:pPr>
            <w:r>
              <w:rPr>
                <w:rFonts w:ascii="Times New Roman" w:hAnsi="Times New Roman" w:cs="Times New Roman"/>
                <w:sz w:val="21"/>
                <w:szCs w:val="21"/>
                <w:lang w:eastAsia="en-US"/>
              </w:rPr>
              <w:t>ενάρξεως</w:t>
            </w:r>
          </w:p>
        </w:tc>
        <w:tc>
          <w:tcPr>
            <w:tcW w:w="125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100</w:t>
            </w:r>
          </w:p>
        </w:tc>
        <w:tc>
          <w:tcPr>
            <w:tcW w:w="34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Χ</w:t>
            </w:r>
          </w:p>
        </w:tc>
        <w:tc>
          <w:tcPr>
            <w:tcW w:w="121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15</w:t>
            </w:r>
          </w:p>
        </w:tc>
        <w:tc>
          <w:tcPr>
            <w:tcW w:w="3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w:t>
            </w:r>
          </w:p>
        </w:tc>
        <w:tc>
          <w:tcPr>
            <w:tcW w:w="91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1.500</w:t>
            </w:r>
          </w:p>
        </w:tc>
        <w:tc>
          <w:tcPr>
            <w:tcW w:w="139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w:t>
            </w:r>
          </w:p>
        </w:tc>
        <w:tc>
          <w:tcPr>
            <w:tcW w:w="139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100</w:t>
            </w:r>
          </w:p>
        </w:tc>
      </w:tr>
      <w:tr w:rsidR="00E54474" w:rsidTr="00E54474">
        <w:trPr>
          <w:trHeight w:val="79"/>
        </w:trPr>
        <w:tc>
          <w:tcPr>
            <w:tcW w:w="8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rPr>
                <w:rFonts w:ascii="Times New Roman" w:hAnsi="Times New Roman" w:cs="Times New Roman"/>
                <w:sz w:val="21"/>
                <w:szCs w:val="21"/>
                <w:lang w:eastAsia="en-US"/>
              </w:rPr>
            </w:pPr>
            <w:r>
              <w:rPr>
                <w:rFonts w:ascii="Times New Roman" w:hAnsi="Times New Roman" w:cs="Times New Roman"/>
                <w:sz w:val="21"/>
                <w:szCs w:val="21"/>
                <w:lang w:eastAsia="en-US"/>
              </w:rPr>
              <w:t>Ιαν. 12</w:t>
            </w:r>
          </w:p>
        </w:tc>
        <w:tc>
          <w:tcPr>
            <w:tcW w:w="128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rPr>
                <w:rFonts w:ascii="Times New Roman" w:hAnsi="Times New Roman" w:cs="Times New Roman"/>
                <w:sz w:val="21"/>
                <w:szCs w:val="21"/>
                <w:lang w:eastAsia="en-US"/>
              </w:rPr>
            </w:pPr>
            <w:r>
              <w:rPr>
                <w:rFonts w:ascii="Times New Roman" w:hAnsi="Times New Roman" w:cs="Times New Roman"/>
                <w:sz w:val="21"/>
                <w:szCs w:val="21"/>
                <w:lang w:eastAsia="en-US"/>
              </w:rPr>
              <w:t>Αγορά</w:t>
            </w:r>
          </w:p>
        </w:tc>
        <w:tc>
          <w:tcPr>
            <w:tcW w:w="125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500</w:t>
            </w:r>
          </w:p>
        </w:tc>
        <w:tc>
          <w:tcPr>
            <w:tcW w:w="34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Χ</w:t>
            </w:r>
          </w:p>
        </w:tc>
        <w:tc>
          <w:tcPr>
            <w:tcW w:w="121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18</w:t>
            </w:r>
          </w:p>
        </w:tc>
        <w:tc>
          <w:tcPr>
            <w:tcW w:w="3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w:t>
            </w:r>
          </w:p>
        </w:tc>
        <w:tc>
          <w:tcPr>
            <w:tcW w:w="91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9.000</w:t>
            </w:r>
          </w:p>
        </w:tc>
        <w:tc>
          <w:tcPr>
            <w:tcW w:w="139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w:t>
            </w:r>
          </w:p>
        </w:tc>
        <w:tc>
          <w:tcPr>
            <w:tcW w:w="139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600</w:t>
            </w:r>
          </w:p>
        </w:tc>
      </w:tr>
      <w:tr w:rsidR="00E54474" w:rsidTr="00E54474">
        <w:trPr>
          <w:trHeight w:val="79"/>
        </w:trPr>
        <w:tc>
          <w:tcPr>
            <w:tcW w:w="8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rPr>
                <w:rFonts w:ascii="Times New Roman" w:hAnsi="Times New Roman" w:cs="Times New Roman"/>
                <w:sz w:val="21"/>
                <w:szCs w:val="21"/>
                <w:lang w:eastAsia="en-US"/>
              </w:rPr>
            </w:pPr>
            <w:r>
              <w:rPr>
                <w:rFonts w:ascii="Times New Roman" w:hAnsi="Times New Roman" w:cs="Times New Roman"/>
                <w:sz w:val="21"/>
                <w:szCs w:val="21"/>
                <w:lang w:eastAsia="en-US"/>
              </w:rPr>
              <w:t>Ιαν. 15</w:t>
            </w:r>
          </w:p>
        </w:tc>
        <w:tc>
          <w:tcPr>
            <w:tcW w:w="128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rPr>
                <w:rFonts w:ascii="Times New Roman" w:hAnsi="Times New Roman" w:cs="Times New Roman"/>
                <w:sz w:val="21"/>
                <w:szCs w:val="21"/>
                <w:lang w:eastAsia="en-US"/>
              </w:rPr>
            </w:pPr>
            <w:r>
              <w:rPr>
                <w:rFonts w:ascii="Times New Roman" w:hAnsi="Times New Roman" w:cs="Times New Roman"/>
                <w:sz w:val="21"/>
                <w:szCs w:val="21"/>
                <w:lang w:eastAsia="en-US"/>
              </w:rPr>
              <w:t>Πώληση</w:t>
            </w:r>
          </w:p>
        </w:tc>
        <w:tc>
          <w:tcPr>
            <w:tcW w:w="125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E54474" w:rsidRDefault="00E54474">
            <w:pPr>
              <w:pStyle w:val="NoParagraphStyle"/>
              <w:spacing w:line="240" w:lineRule="auto"/>
              <w:rPr>
                <w:rFonts w:ascii="Times New Roman" w:hAnsi="Times New Roman" w:cs="Times New Roman"/>
                <w:color w:val="auto"/>
                <w:sz w:val="21"/>
                <w:szCs w:val="21"/>
                <w:lang w:eastAsia="en-US"/>
              </w:rPr>
            </w:pPr>
          </w:p>
        </w:tc>
        <w:tc>
          <w:tcPr>
            <w:tcW w:w="34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E54474" w:rsidRDefault="00E54474">
            <w:pPr>
              <w:pStyle w:val="NoParagraphStyle"/>
              <w:spacing w:line="240" w:lineRule="auto"/>
              <w:rPr>
                <w:rFonts w:ascii="Times New Roman" w:hAnsi="Times New Roman" w:cs="Times New Roman"/>
                <w:color w:val="auto"/>
                <w:sz w:val="21"/>
                <w:szCs w:val="21"/>
                <w:lang w:eastAsia="en-US"/>
              </w:rPr>
            </w:pPr>
          </w:p>
        </w:tc>
        <w:tc>
          <w:tcPr>
            <w:tcW w:w="121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E54474" w:rsidRDefault="00E54474">
            <w:pPr>
              <w:pStyle w:val="NoParagraphStyle"/>
              <w:spacing w:line="240" w:lineRule="auto"/>
              <w:rPr>
                <w:rFonts w:ascii="Times New Roman" w:hAnsi="Times New Roman" w:cs="Times New Roman"/>
                <w:color w:val="auto"/>
                <w:sz w:val="21"/>
                <w:szCs w:val="21"/>
                <w:lang w:eastAsia="en-US"/>
              </w:rPr>
            </w:pPr>
          </w:p>
        </w:tc>
        <w:tc>
          <w:tcPr>
            <w:tcW w:w="3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E54474" w:rsidRDefault="00E54474">
            <w:pPr>
              <w:pStyle w:val="NoParagraphStyle"/>
              <w:spacing w:line="240" w:lineRule="auto"/>
              <w:rPr>
                <w:rFonts w:ascii="Times New Roman" w:hAnsi="Times New Roman" w:cs="Times New Roman"/>
                <w:color w:val="auto"/>
                <w:sz w:val="21"/>
                <w:szCs w:val="21"/>
                <w:lang w:eastAsia="en-US"/>
              </w:rPr>
            </w:pPr>
          </w:p>
        </w:tc>
        <w:tc>
          <w:tcPr>
            <w:tcW w:w="91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E54474" w:rsidRDefault="00E54474">
            <w:pPr>
              <w:pStyle w:val="NoParagraphStyle"/>
              <w:spacing w:line="240" w:lineRule="auto"/>
              <w:rPr>
                <w:rFonts w:ascii="Times New Roman" w:hAnsi="Times New Roman" w:cs="Times New Roman"/>
                <w:color w:val="auto"/>
                <w:sz w:val="21"/>
                <w:szCs w:val="21"/>
                <w:lang w:eastAsia="en-US"/>
              </w:rPr>
            </w:pPr>
          </w:p>
        </w:tc>
        <w:tc>
          <w:tcPr>
            <w:tcW w:w="139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400</w:t>
            </w:r>
          </w:p>
        </w:tc>
        <w:tc>
          <w:tcPr>
            <w:tcW w:w="139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200</w:t>
            </w:r>
          </w:p>
        </w:tc>
      </w:tr>
      <w:tr w:rsidR="00E54474" w:rsidTr="00E54474">
        <w:trPr>
          <w:trHeight w:val="79"/>
        </w:trPr>
        <w:tc>
          <w:tcPr>
            <w:tcW w:w="8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rPr>
                <w:rFonts w:ascii="Times New Roman" w:hAnsi="Times New Roman" w:cs="Times New Roman"/>
                <w:sz w:val="21"/>
                <w:szCs w:val="21"/>
                <w:lang w:eastAsia="en-US"/>
              </w:rPr>
            </w:pPr>
            <w:r>
              <w:rPr>
                <w:rFonts w:ascii="Times New Roman" w:hAnsi="Times New Roman" w:cs="Times New Roman"/>
                <w:sz w:val="21"/>
                <w:szCs w:val="21"/>
                <w:lang w:eastAsia="en-US"/>
              </w:rPr>
              <w:t>Ιαν. 26</w:t>
            </w:r>
          </w:p>
        </w:tc>
        <w:tc>
          <w:tcPr>
            <w:tcW w:w="128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rPr>
                <w:rFonts w:ascii="Times New Roman" w:hAnsi="Times New Roman" w:cs="Times New Roman"/>
                <w:sz w:val="21"/>
                <w:szCs w:val="21"/>
                <w:lang w:eastAsia="en-US"/>
              </w:rPr>
            </w:pPr>
            <w:r>
              <w:rPr>
                <w:rFonts w:ascii="Times New Roman" w:hAnsi="Times New Roman" w:cs="Times New Roman"/>
                <w:sz w:val="21"/>
                <w:szCs w:val="21"/>
                <w:lang w:eastAsia="en-US"/>
              </w:rPr>
              <w:t>Αγορά</w:t>
            </w:r>
          </w:p>
        </w:tc>
        <w:tc>
          <w:tcPr>
            <w:tcW w:w="125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600</w:t>
            </w:r>
          </w:p>
        </w:tc>
        <w:tc>
          <w:tcPr>
            <w:tcW w:w="34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Χ</w:t>
            </w:r>
          </w:p>
        </w:tc>
        <w:tc>
          <w:tcPr>
            <w:tcW w:w="121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20</w:t>
            </w:r>
          </w:p>
        </w:tc>
        <w:tc>
          <w:tcPr>
            <w:tcW w:w="3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w:t>
            </w:r>
          </w:p>
        </w:tc>
        <w:tc>
          <w:tcPr>
            <w:tcW w:w="91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12.000</w:t>
            </w:r>
          </w:p>
        </w:tc>
        <w:tc>
          <w:tcPr>
            <w:tcW w:w="139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w:t>
            </w:r>
          </w:p>
        </w:tc>
        <w:tc>
          <w:tcPr>
            <w:tcW w:w="139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800</w:t>
            </w:r>
          </w:p>
        </w:tc>
      </w:tr>
      <w:tr w:rsidR="00E54474" w:rsidTr="00E54474">
        <w:trPr>
          <w:trHeight w:val="79"/>
        </w:trPr>
        <w:tc>
          <w:tcPr>
            <w:tcW w:w="8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rPr>
                <w:rFonts w:ascii="Times New Roman" w:hAnsi="Times New Roman" w:cs="Times New Roman"/>
                <w:sz w:val="21"/>
                <w:szCs w:val="21"/>
                <w:lang w:eastAsia="en-US"/>
              </w:rPr>
            </w:pPr>
            <w:r>
              <w:rPr>
                <w:rFonts w:ascii="Times New Roman" w:hAnsi="Times New Roman" w:cs="Times New Roman"/>
                <w:sz w:val="21"/>
                <w:szCs w:val="21"/>
                <w:lang w:eastAsia="en-US"/>
              </w:rPr>
              <w:t>Ιαν. 28</w:t>
            </w:r>
          </w:p>
        </w:tc>
        <w:tc>
          <w:tcPr>
            <w:tcW w:w="128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rPr>
                <w:rFonts w:ascii="Times New Roman" w:hAnsi="Times New Roman" w:cs="Times New Roman"/>
                <w:sz w:val="21"/>
                <w:szCs w:val="21"/>
                <w:lang w:eastAsia="en-US"/>
              </w:rPr>
            </w:pPr>
            <w:r>
              <w:rPr>
                <w:rFonts w:ascii="Times New Roman" w:hAnsi="Times New Roman" w:cs="Times New Roman"/>
                <w:sz w:val="21"/>
                <w:szCs w:val="21"/>
                <w:lang w:eastAsia="en-US"/>
              </w:rPr>
              <w:t>Πώληση</w:t>
            </w:r>
          </w:p>
        </w:tc>
        <w:tc>
          <w:tcPr>
            <w:tcW w:w="125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E54474" w:rsidRDefault="00E54474">
            <w:pPr>
              <w:pStyle w:val="NoParagraphStyle"/>
              <w:spacing w:line="240" w:lineRule="auto"/>
              <w:rPr>
                <w:rFonts w:ascii="Times New Roman" w:hAnsi="Times New Roman" w:cs="Times New Roman"/>
                <w:color w:val="auto"/>
                <w:sz w:val="21"/>
                <w:szCs w:val="21"/>
                <w:lang w:eastAsia="en-US"/>
              </w:rPr>
            </w:pPr>
          </w:p>
        </w:tc>
        <w:tc>
          <w:tcPr>
            <w:tcW w:w="34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E54474" w:rsidRDefault="00E54474">
            <w:pPr>
              <w:pStyle w:val="NoParagraphStyle"/>
              <w:spacing w:line="240" w:lineRule="auto"/>
              <w:rPr>
                <w:rFonts w:ascii="Times New Roman" w:hAnsi="Times New Roman" w:cs="Times New Roman"/>
                <w:color w:val="auto"/>
                <w:sz w:val="21"/>
                <w:szCs w:val="21"/>
                <w:lang w:eastAsia="en-US"/>
              </w:rPr>
            </w:pPr>
          </w:p>
        </w:tc>
        <w:tc>
          <w:tcPr>
            <w:tcW w:w="121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E54474" w:rsidRDefault="00E54474">
            <w:pPr>
              <w:pStyle w:val="NoParagraphStyle"/>
              <w:spacing w:line="240" w:lineRule="auto"/>
              <w:rPr>
                <w:rFonts w:ascii="Times New Roman" w:hAnsi="Times New Roman" w:cs="Times New Roman"/>
                <w:color w:val="auto"/>
                <w:sz w:val="21"/>
                <w:szCs w:val="21"/>
                <w:lang w:eastAsia="en-US"/>
              </w:rPr>
            </w:pPr>
          </w:p>
        </w:tc>
        <w:tc>
          <w:tcPr>
            <w:tcW w:w="3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E54474" w:rsidRDefault="00E54474">
            <w:pPr>
              <w:pStyle w:val="NoParagraphStyle"/>
              <w:spacing w:line="240" w:lineRule="auto"/>
              <w:rPr>
                <w:rFonts w:ascii="Times New Roman" w:hAnsi="Times New Roman" w:cs="Times New Roman"/>
                <w:color w:val="auto"/>
                <w:sz w:val="21"/>
                <w:szCs w:val="21"/>
                <w:lang w:eastAsia="en-US"/>
              </w:rPr>
            </w:pPr>
          </w:p>
        </w:tc>
        <w:tc>
          <w:tcPr>
            <w:tcW w:w="91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E54474" w:rsidRDefault="00E54474">
            <w:pPr>
              <w:pStyle w:val="NoParagraphStyle"/>
              <w:spacing w:line="240" w:lineRule="auto"/>
              <w:rPr>
                <w:rFonts w:ascii="Times New Roman" w:hAnsi="Times New Roman" w:cs="Times New Roman"/>
                <w:color w:val="auto"/>
                <w:sz w:val="21"/>
                <w:szCs w:val="21"/>
                <w:lang w:eastAsia="en-US"/>
              </w:rPr>
            </w:pPr>
          </w:p>
        </w:tc>
        <w:tc>
          <w:tcPr>
            <w:tcW w:w="139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700</w:t>
            </w:r>
          </w:p>
        </w:tc>
        <w:tc>
          <w:tcPr>
            <w:tcW w:w="139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100</w:t>
            </w:r>
          </w:p>
        </w:tc>
      </w:tr>
      <w:tr w:rsidR="00E54474" w:rsidTr="00E54474">
        <w:trPr>
          <w:trHeight w:val="79"/>
        </w:trPr>
        <w:tc>
          <w:tcPr>
            <w:tcW w:w="8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rPr>
                <w:rFonts w:ascii="Times New Roman" w:hAnsi="Times New Roman" w:cs="Times New Roman"/>
                <w:sz w:val="21"/>
                <w:szCs w:val="21"/>
                <w:lang w:eastAsia="en-US"/>
              </w:rPr>
            </w:pPr>
            <w:r>
              <w:rPr>
                <w:rFonts w:ascii="Times New Roman" w:hAnsi="Times New Roman" w:cs="Times New Roman"/>
                <w:sz w:val="21"/>
                <w:szCs w:val="21"/>
                <w:lang w:eastAsia="en-US"/>
              </w:rPr>
              <w:t>Ιαν. 31</w:t>
            </w:r>
          </w:p>
        </w:tc>
        <w:tc>
          <w:tcPr>
            <w:tcW w:w="128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rPr>
                <w:rFonts w:ascii="Times New Roman" w:hAnsi="Times New Roman" w:cs="Times New Roman"/>
                <w:sz w:val="21"/>
                <w:szCs w:val="21"/>
                <w:lang w:eastAsia="en-US"/>
              </w:rPr>
            </w:pPr>
            <w:r>
              <w:rPr>
                <w:rFonts w:ascii="Times New Roman" w:hAnsi="Times New Roman" w:cs="Times New Roman"/>
                <w:sz w:val="21"/>
                <w:szCs w:val="21"/>
                <w:lang w:eastAsia="en-US"/>
              </w:rPr>
              <w:t>Αγορά</w:t>
            </w:r>
          </w:p>
        </w:tc>
        <w:tc>
          <w:tcPr>
            <w:tcW w:w="125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300</w:t>
            </w:r>
          </w:p>
        </w:tc>
        <w:tc>
          <w:tcPr>
            <w:tcW w:w="34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Χ</w:t>
            </w:r>
          </w:p>
        </w:tc>
        <w:tc>
          <w:tcPr>
            <w:tcW w:w="121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25</w:t>
            </w:r>
          </w:p>
        </w:tc>
        <w:tc>
          <w:tcPr>
            <w:tcW w:w="3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w:t>
            </w:r>
          </w:p>
        </w:tc>
        <w:tc>
          <w:tcPr>
            <w:tcW w:w="91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7.500</w:t>
            </w:r>
          </w:p>
        </w:tc>
        <w:tc>
          <w:tcPr>
            <w:tcW w:w="139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w:t>
            </w:r>
          </w:p>
        </w:tc>
        <w:tc>
          <w:tcPr>
            <w:tcW w:w="139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400</w:t>
            </w:r>
          </w:p>
        </w:tc>
      </w:tr>
    </w:tbl>
    <w:p w:rsidR="00E54474" w:rsidRDefault="00E54474" w:rsidP="00E54474">
      <w:pPr>
        <w:pStyle w:val="keimeno"/>
        <w:ind w:firstLine="0"/>
      </w:pPr>
    </w:p>
    <w:p w:rsidR="00E54474" w:rsidRDefault="00E54474" w:rsidP="00E54474">
      <w:pPr>
        <w:pStyle w:val="keimeno"/>
        <w:ind w:left="-851" w:firstLine="0"/>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Ζητούνται</w:t>
      </w:r>
    </w:p>
    <w:p w:rsidR="00E54474" w:rsidRDefault="00E54474" w:rsidP="00E54474">
      <w:pPr>
        <w:pStyle w:val="keimeno"/>
        <w:ind w:left="-851" w:firstLine="0"/>
        <w:rPr>
          <w:rFonts w:ascii="Times New Roman" w:eastAsia="Times New Roman" w:hAnsi="Times New Roman" w:cs="Times New Roman"/>
          <w:b/>
          <w:color w:val="auto"/>
          <w:sz w:val="21"/>
          <w:szCs w:val="21"/>
        </w:rPr>
      </w:pPr>
    </w:p>
    <w:p w:rsidR="00E54474" w:rsidRDefault="00E54474" w:rsidP="00E54474">
      <w:pPr>
        <w:pStyle w:val="keimeno"/>
        <w:ind w:left="-851" w:firstLine="0"/>
        <w:rPr>
          <w:rFonts w:ascii="Times New Roman" w:eastAsia="Times New Roman" w:hAnsi="Times New Roman" w:cs="Times New Roman"/>
          <w:color w:val="auto"/>
          <w:sz w:val="21"/>
          <w:szCs w:val="21"/>
        </w:rPr>
      </w:pPr>
      <w:r>
        <w:rPr>
          <w:rFonts w:ascii="Times New Roman" w:eastAsia="Times New Roman" w:hAnsi="Times New Roman" w:cs="Times New Roman"/>
          <w:b/>
          <w:color w:val="auto"/>
          <w:sz w:val="21"/>
          <w:szCs w:val="21"/>
        </w:rPr>
        <w:t>α)</w:t>
      </w:r>
      <w:r>
        <w:rPr>
          <w:rFonts w:ascii="Times New Roman" w:eastAsia="Times New Roman" w:hAnsi="Times New Roman" w:cs="Times New Roman"/>
          <w:color w:val="auto"/>
          <w:sz w:val="21"/>
          <w:szCs w:val="21"/>
        </w:rPr>
        <w:t xml:space="preserve"> Με βάση τα πιο πάνω δεδομένα κίνησης του λογαριασμού «Εμπορεύματα- είδος Ε» να προσδιορισθεί η αξία των αποθεμάτων λήξεως: </w:t>
      </w:r>
    </w:p>
    <w:p w:rsidR="00E54474" w:rsidRDefault="00E54474" w:rsidP="00E54474">
      <w:pPr>
        <w:pStyle w:val="keimeno"/>
        <w:ind w:left="-851" w:firstLine="0"/>
        <w:rPr>
          <w:rFonts w:ascii="Times New Roman" w:eastAsia="Times New Roman" w:hAnsi="Times New Roman" w:cs="Times New Roman"/>
          <w:color w:val="auto"/>
          <w:sz w:val="21"/>
          <w:szCs w:val="21"/>
        </w:rPr>
      </w:pPr>
      <w:r>
        <w:rPr>
          <w:rFonts w:ascii="Times New Roman" w:eastAsia="Times New Roman" w:hAnsi="Times New Roman" w:cs="Times New Roman"/>
          <w:color w:val="auto"/>
          <w:sz w:val="21"/>
          <w:szCs w:val="21"/>
        </w:rPr>
        <w:t>1) με τη μέθοδο του Μέσου Σταθμικού κόστους και,</w:t>
      </w:r>
    </w:p>
    <w:p w:rsidR="00E54474" w:rsidRDefault="00E54474" w:rsidP="00E54474">
      <w:pPr>
        <w:pStyle w:val="keimeno"/>
        <w:ind w:left="-851" w:firstLine="0"/>
        <w:rPr>
          <w:rFonts w:ascii="Times New Roman" w:eastAsia="Times New Roman" w:hAnsi="Times New Roman" w:cs="Times New Roman"/>
          <w:color w:val="auto"/>
          <w:sz w:val="21"/>
          <w:szCs w:val="21"/>
        </w:rPr>
      </w:pPr>
      <w:r>
        <w:rPr>
          <w:rFonts w:ascii="Times New Roman" w:eastAsia="Times New Roman" w:hAnsi="Times New Roman" w:cs="Times New Roman"/>
          <w:color w:val="auto"/>
          <w:sz w:val="21"/>
          <w:szCs w:val="21"/>
        </w:rPr>
        <w:t>2) με τη μέθοδο της σειράς εξαντλήσεως των αποθεμάτων (</w:t>
      </w:r>
      <w:r>
        <w:rPr>
          <w:rFonts w:ascii="Times New Roman" w:eastAsia="Times New Roman" w:hAnsi="Times New Roman" w:cs="Times New Roman"/>
          <w:color w:val="auto"/>
          <w:sz w:val="21"/>
          <w:szCs w:val="21"/>
          <w:lang w:val="en-US"/>
        </w:rPr>
        <w:t>F</w:t>
      </w:r>
      <w:r>
        <w:rPr>
          <w:rFonts w:ascii="Times New Roman" w:eastAsia="Times New Roman" w:hAnsi="Times New Roman" w:cs="Times New Roman"/>
          <w:color w:val="auto"/>
          <w:sz w:val="21"/>
          <w:szCs w:val="21"/>
        </w:rPr>
        <w:t>.</w:t>
      </w:r>
      <w:r>
        <w:rPr>
          <w:rFonts w:ascii="Times New Roman" w:eastAsia="Times New Roman" w:hAnsi="Times New Roman" w:cs="Times New Roman"/>
          <w:color w:val="auto"/>
          <w:sz w:val="21"/>
          <w:szCs w:val="21"/>
          <w:lang w:val="en-US"/>
        </w:rPr>
        <w:t>I</w:t>
      </w:r>
      <w:r>
        <w:rPr>
          <w:rFonts w:ascii="Times New Roman" w:eastAsia="Times New Roman" w:hAnsi="Times New Roman" w:cs="Times New Roman"/>
          <w:color w:val="auto"/>
          <w:sz w:val="21"/>
          <w:szCs w:val="21"/>
        </w:rPr>
        <w:t>.</w:t>
      </w:r>
      <w:r>
        <w:rPr>
          <w:rFonts w:ascii="Times New Roman" w:eastAsia="Times New Roman" w:hAnsi="Times New Roman" w:cs="Times New Roman"/>
          <w:color w:val="auto"/>
          <w:sz w:val="21"/>
          <w:szCs w:val="21"/>
          <w:lang w:val="en-US"/>
        </w:rPr>
        <w:t>F</w:t>
      </w:r>
      <w:r>
        <w:rPr>
          <w:rFonts w:ascii="Times New Roman" w:eastAsia="Times New Roman" w:hAnsi="Times New Roman" w:cs="Times New Roman"/>
          <w:color w:val="auto"/>
          <w:sz w:val="21"/>
          <w:szCs w:val="21"/>
        </w:rPr>
        <w:t>.</w:t>
      </w:r>
      <w:r>
        <w:rPr>
          <w:rFonts w:ascii="Times New Roman" w:eastAsia="Times New Roman" w:hAnsi="Times New Roman" w:cs="Times New Roman"/>
          <w:color w:val="auto"/>
          <w:sz w:val="21"/>
          <w:szCs w:val="21"/>
          <w:lang w:val="en-US"/>
        </w:rPr>
        <w:t>O</w:t>
      </w:r>
      <w:r>
        <w:rPr>
          <w:rFonts w:ascii="Times New Roman" w:eastAsia="Times New Roman" w:hAnsi="Times New Roman" w:cs="Times New Roman"/>
          <w:color w:val="auto"/>
          <w:sz w:val="21"/>
          <w:szCs w:val="21"/>
        </w:rPr>
        <w:t xml:space="preserve">.). </w:t>
      </w:r>
    </w:p>
    <w:p w:rsidR="00E54474" w:rsidRDefault="00E54474" w:rsidP="00E54474">
      <w:pPr>
        <w:pStyle w:val="keimeno"/>
        <w:ind w:left="-851" w:firstLine="0"/>
        <w:rPr>
          <w:rFonts w:ascii="Times New Roman" w:eastAsia="Times New Roman" w:hAnsi="Times New Roman" w:cs="Times New Roman"/>
          <w:color w:val="auto"/>
          <w:sz w:val="21"/>
          <w:szCs w:val="21"/>
        </w:rPr>
      </w:pPr>
      <w:r>
        <w:rPr>
          <w:rFonts w:ascii="Times New Roman" w:eastAsia="Times New Roman" w:hAnsi="Times New Roman" w:cs="Times New Roman"/>
          <w:b/>
          <w:color w:val="auto"/>
          <w:sz w:val="21"/>
          <w:szCs w:val="21"/>
        </w:rPr>
        <w:t>β)</w:t>
      </w:r>
      <w:r>
        <w:rPr>
          <w:rFonts w:ascii="Times New Roman" w:eastAsia="Times New Roman" w:hAnsi="Times New Roman" w:cs="Times New Roman"/>
          <w:color w:val="auto"/>
          <w:sz w:val="21"/>
          <w:szCs w:val="21"/>
        </w:rPr>
        <w:t xml:space="preserve"> Εάν η τιμή πώλησης του εμπορεύματος «Ε» την 31.1.20Χ1 είναι €19/μονάδα και τα έξοδα που είναι αναγκαία για να πραγματοποιηθεί η πώληση είναι €2/μονάδα, να γίνει η επιμέτρηση (αποτίμηση) των αποθεμάτων λήξεως και ο προσδιορισμός του κόστους πωληθέντων και με τις δύο πιο πάνω μεθόδους αποτίμησης.</w:t>
      </w:r>
    </w:p>
    <w:p w:rsidR="00E54474" w:rsidRDefault="00E54474" w:rsidP="00E54474">
      <w:pPr>
        <w:pStyle w:val="esoxes"/>
        <w:ind w:left="-851" w:firstLine="0"/>
        <w:rPr>
          <w:rFonts w:ascii="Times New Roman" w:eastAsia="Times New Roman" w:hAnsi="Times New Roman" w:cs="Times New Roman"/>
          <w:color w:val="auto"/>
          <w:sz w:val="21"/>
          <w:szCs w:val="21"/>
        </w:rPr>
      </w:pPr>
      <w:r>
        <w:rPr>
          <w:rFonts w:ascii="Times New Roman" w:eastAsia="Times New Roman" w:hAnsi="Times New Roman" w:cs="Times New Roman"/>
          <w:b/>
          <w:color w:val="auto"/>
          <w:sz w:val="21"/>
          <w:szCs w:val="21"/>
        </w:rPr>
        <w:t>γ)</w:t>
      </w:r>
      <w:r>
        <w:rPr>
          <w:rFonts w:ascii="Times New Roman" w:eastAsia="Times New Roman" w:hAnsi="Times New Roman" w:cs="Times New Roman"/>
          <w:color w:val="auto"/>
          <w:sz w:val="21"/>
          <w:szCs w:val="21"/>
        </w:rPr>
        <w:t xml:space="preserve"> Να σχολιασθεί ποία εκ των δυο μεθόδων δίνει στον ισολογισμό την πιο ρεαλιστική αποτίμηση του αποθέματος και την πιο ρεαλιστική μέτρηση του αποτελέσματος σε σχέση με την κοστολόγηση των πωληθέντων μονάδων. Εξηγήσατε. </w:t>
      </w:r>
    </w:p>
    <w:p w:rsidR="00E54474" w:rsidRDefault="00E54474" w:rsidP="00E54474">
      <w:pPr>
        <w:pStyle w:val="esoxes"/>
        <w:ind w:left="-851" w:firstLine="0"/>
        <w:rPr>
          <w:rFonts w:ascii="Times New Roman" w:eastAsia="Times New Roman" w:hAnsi="Times New Roman" w:cs="Times New Roman"/>
          <w:color w:val="auto"/>
          <w:sz w:val="21"/>
          <w:szCs w:val="21"/>
        </w:rPr>
      </w:pPr>
      <w:r>
        <w:rPr>
          <w:rFonts w:ascii="Times New Roman" w:eastAsia="Times New Roman" w:hAnsi="Times New Roman" w:cs="Times New Roman"/>
          <w:b/>
          <w:color w:val="auto"/>
          <w:sz w:val="21"/>
          <w:szCs w:val="21"/>
        </w:rPr>
        <w:t>δ)</w:t>
      </w:r>
      <w:r>
        <w:rPr>
          <w:rFonts w:ascii="Times New Roman" w:eastAsia="Times New Roman" w:hAnsi="Times New Roman" w:cs="Times New Roman"/>
          <w:color w:val="auto"/>
          <w:sz w:val="21"/>
          <w:szCs w:val="21"/>
        </w:rPr>
        <w:t xml:space="preserve"> Ποία από τις δυο μεθόδους αποτίμησης των αποθεμάτων θα είναι πιο πλεονεκτική για την επιχείρηση στον υπολογισμό του φόρου εισοδήματος, κατά τη διάρκεια μιας περιόδου αύξησης τιμών; </w:t>
      </w:r>
    </w:p>
    <w:p w:rsidR="00E54474" w:rsidRDefault="00E54474" w:rsidP="00E54474">
      <w:pPr>
        <w:pStyle w:val="esoxes"/>
        <w:ind w:left="-851" w:firstLine="0"/>
        <w:rPr>
          <w:rFonts w:ascii="Times New Roman" w:eastAsia="Times New Roman" w:hAnsi="Times New Roman" w:cs="Times New Roman"/>
          <w:color w:val="auto"/>
          <w:sz w:val="21"/>
          <w:szCs w:val="21"/>
        </w:rPr>
      </w:pPr>
      <w:r>
        <w:rPr>
          <w:rFonts w:ascii="Times New Roman" w:eastAsia="Times New Roman" w:hAnsi="Times New Roman" w:cs="Times New Roman"/>
          <w:b/>
          <w:color w:val="auto"/>
          <w:sz w:val="21"/>
          <w:szCs w:val="21"/>
        </w:rPr>
        <w:t>ε)</w:t>
      </w:r>
      <w:r>
        <w:rPr>
          <w:rFonts w:ascii="Times New Roman" w:eastAsia="Times New Roman" w:hAnsi="Times New Roman" w:cs="Times New Roman"/>
          <w:color w:val="auto"/>
          <w:sz w:val="21"/>
          <w:szCs w:val="21"/>
        </w:rPr>
        <w:t xml:space="preserve"> Η επιχείρηση προτίθεται στην επόμενη χρήση να ζητήσει Τραπεζικό δάνειο για την επέκταση των εργασιών της. Ποία θα ήταν η μέθοδος αποτίμησης των αποθεμάτων που θα την διευκόλυνε στο σκοπό αυτό; Εξηγήσατε.</w:t>
      </w:r>
    </w:p>
    <w:p w:rsidR="00E54474" w:rsidRDefault="00E54474" w:rsidP="00E54474">
      <w:pPr>
        <w:pStyle w:val="esoxes"/>
        <w:ind w:left="-851" w:firstLine="0"/>
        <w:rPr>
          <w:rFonts w:ascii="Times New Roman" w:eastAsia="Times New Roman" w:hAnsi="Times New Roman" w:cs="Times New Roman"/>
          <w:color w:val="auto"/>
          <w:sz w:val="21"/>
          <w:szCs w:val="21"/>
        </w:rPr>
      </w:pPr>
      <w:r>
        <w:rPr>
          <w:rFonts w:ascii="Times New Roman" w:eastAsia="Times New Roman" w:hAnsi="Times New Roman" w:cs="Times New Roman"/>
          <w:b/>
          <w:color w:val="auto"/>
          <w:sz w:val="21"/>
          <w:szCs w:val="21"/>
        </w:rPr>
        <w:t>στ)</w:t>
      </w:r>
      <w:r>
        <w:rPr>
          <w:rFonts w:ascii="Times New Roman" w:eastAsia="Times New Roman" w:hAnsi="Times New Roman" w:cs="Times New Roman"/>
          <w:color w:val="auto"/>
          <w:sz w:val="21"/>
          <w:szCs w:val="21"/>
        </w:rPr>
        <w:t xml:space="preserve"> Να απεικονισθούν όλες οι προκύπτουσες ημερολογιακές εγγραφές που αφορούν την καρτέλα του εμπορεύματος «Ε» που τηρήθηκε με τη μέθοδο του μέσου σταθμικού, ήτοι: το υπόλοιπο ενάρξεως, οι αγορές, οι πωλήσεις αξίας €24.200 και το κόστος πωληθέντων της  περιόδου Ιανουαρίου 20Χ1 και να μεταφερθούν τα υπόλοιπα αυτών των λογαριασμών με ημερολογιακές εγγραφές στην κατάσταση αποτελεσμάτων. Οι εγγραφές των αγορών και πωλήσεων να γίνουν συγκεντρωτικά και να υπολογισθεί Φ.Π.Α. με συντελεστή 23%, όπου αυτός επιβάλλεται. Να χρησιμοποιηθούν επίσης, οι κωδικοί λογαριασμών που προβλέπονται από το Παράρτημα Γ του Ν.4308/2014 (Ε.Λ.Π).</w:t>
      </w:r>
    </w:p>
    <w:p w:rsidR="00E54474" w:rsidRDefault="00E54474" w:rsidP="00E54474">
      <w:pPr>
        <w:pStyle w:val="esoxes"/>
        <w:ind w:left="-851" w:firstLine="0"/>
        <w:rPr>
          <w:rFonts w:ascii="Times New Roman" w:eastAsia="Times New Roman" w:hAnsi="Times New Roman" w:cs="Times New Roman"/>
          <w:color w:val="auto"/>
          <w:sz w:val="21"/>
          <w:szCs w:val="21"/>
        </w:rPr>
      </w:pPr>
      <w:r>
        <w:rPr>
          <w:rFonts w:ascii="Times New Roman" w:eastAsia="Times New Roman" w:hAnsi="Times New Roman" w:cs="Times New Roman"/>
          <w:b/>
          <w:color w:val="auto"/>
          <w:sz w:val="24"/>
          <w:szCs w:val="24"/>
        </w:rPr>
        <w:t>Σημείωση:</w:t>
      </w:r>
      <w:r>
        <w:rPr>
          <w:rFonts w:ascii="Times New Roman" w:eastAsia="Times New Roman" w:hAnsi="Times New Roman" w:cs="Times New Roman"/>
          <w:color w:val="auto"/>
          <w:sz w:val="21"/>
          <w:szCs w:val="21"/>
        </w:rPr>
        <w:t xml:space="preserve"> Η οντότητα τηρεί λογαριασμούς κόστους πωληθέντων (αντιθέτους) τόσο στους λογαριασμούς αποθεμάτων όσο και στους λογαριασμούς πωλήσεων. </w:t>
      </w:r>
    </w:p>
    <w:p w:rsidR="00E54474" w:rsidRDefault="00E54474" w:rsidP="00E54474">
      <w:pPr>
        <w:pStyle w:val="keimeno"/>
        <w:ind w:left="-851" w:firstLine="0"/>
        <w:rPr>
          <w:rFonts w:ascii="Times New Roman" w:eastAsia="Times New Roman" w:hAnsi="Times New Roman" w:cs="Times New Roman"/>
          <w:color w:val="auto"/>
          <w:sz w:val="21"/>
          <w:szCs w:val="21"/>
        </w:rPr>
      </w:pPr>
    </w:p>
    <w:p w:rsidR="00E54474" w:rsidRDefault="00E54474" w:rsidP="00E54474">
      <w:pPr>
        <w:ind w:left="-851"/>
        <w:rPr>
          <w:b/>
          <w:bCs/>
        </w:rPr>
      </w:pPr>
      <w:r>
        <w:rPr>
          <w:b/>
          <w:bCs/>
        </w:rPr>
        <w:t>Επίλυση</w:t>
      </w:r>
    </w:p>
    <w:p w:rsidR="00E54474" w:rsidRDefault="00E54474" w:rsidP="00E54474">
      <w:pPr>
        <w:ind w:left="-851"/>
        <w:rPr>
          <w:b/>
          <w:bCs/>
        </w:rPr>
      </w:pPr>
      <w:r>
        <w:rPr>
          <w:b/>
        </w:rPr>
        <w:t>α) προσδιορισμός του κόστους κτήσεως των αποθεμάτων λήξεως</w:t>
      </w:r>
    </w:p>
    <w:p w:rsidR="00E54474" w:rsidRDefault="00E54474" w:rsidP="00E54474">
      <w:pPr>
        <w:ind w:left="-851"/>
        <w:rPr>
          <w:bCs/>
          <w:sz w:val="21"/>
          <w:szCs w:val="21"/>
        </w:rPr>
      </w:pPr>
      <w:r>
        <w:rPr>
          <w:bCs/>
          <w:sz w:val="21"/>
          <w:szCs w:val="21"/>
        </w:rPr>
        <w:t>1)</w:t>
      </w:r>
      <w:r>
        <w:rPr>
          <w:sz w:val="21"/>
          <w:szCs w:val="21"/>
        </w:rPr>
        <w:t xml:space="preserve"> Προσδιορισμός του κόστους κτήσεως</w:t>
      </w:r>
      <w:r>
        <w:rPr>
          <w:b/>
          <w:sz w:val="21"/>
          <w:szCs w:val="21"/>
        </w:rPr>
        <w:t xml:space="preserve"> </w:t>
      </w:r>
      <w:r>
        <w:rPr>
          <w:sz w:val="21"/>
          <w:szCs w:val="21"/>
        </w:rPr>
        <w:t>με τη μέθοδο του Μέσου Σταθμικού κόστους</w:t>
      </w:r>
    </w:p>
    <w:tbl>
      <w:tblPr>
        <w:tblW w:w="0" w:type="auto"/>
        <w:tblInd w:w="-840" w:type="dxa"/>
        <w:tblLayout w:type="fixed"/>
        <w:tblCellMar>
          <w:left w:w="0" w:type="dxa"/>
          <w:right w:w="0" w:type="dxa"/>
        </w:tblCellMar>
        <w:tblLook w:val="04A0" w:firstRow="1" w:lastRow="0" w:firstColumn="1" w:lastColumn="0" w:noHBand="0" w:noVBand="1"/>
      </w:tblPr>
      <w:tblGrid>
        <w:gridCol w:w="357"/>
        <w:gridCol w:w="2643"/>
        <w:gridCol w:w="521"/>
        <w:gridCol w:w="860"/>
        <w:gridCol w:w="1518"/>
        <w:gridCol w:w="1658"/>
        <w:gridCol w:w="1658"/>
      </w:tblGrid>
      <w:tr w:rsidR="00E54474" w:rsidTr="00E54474">
        <w:trPr>
          <w:trHeight w:hRule="exact" w:val="315"/>
        </w:trPr>
        <w:tc>
          <w:tcPr>
            <w:tcW w:w="357" w:type="dxa"/>
            <w:tcMar>
              <w:top w:w="57" w:type="dxa"/>
              <w:left w:w="57" w:type="dxa"/>
              <w:bottom w:w="57" w:type="dxa"/>
              <w:right w:w="57" w:type="dxa"/>
            </w:tcMar>
          </w:tcPr>
          <w:p w:rsidR="00E54474" w:rsidRDefault="00E54474">
            <w:pPr>
              <w:pStyle w:val="NoParagraphStyle"/>
              <w:spacing w:line="240" w:lineRule="auto"/>
              <w:rPr>
                <w:rFonts w:ascii="PFTransit Light" w:hAnsi="PFTransit Light" w:cs="Times New Roman"/>
                <w:b/>
                <w:color w:val="auto"/>
                <w:lang w:eastAsia="en-US"/>
              </w:rPr>
            </w:pPr>
          </w:p>
        </w:tc>
        <w:tc>
          <w:tcPr>
            <w:tcW w:w="2643" w:type="dxa"/>
            <w:tcMar>
              <w:top w:w="57" w:type="dxa"/>
              <w:left w:w="57" w:type="dxa"/>
              <w:bottom w:w="57" w:type="dxa"/>
              <w:right w:w="57" w:type="dxa"/>
            </w:tcMar>
            <w:hideMark/>
          </w:tcPr>
          <w:p w:rsidR="00E54474" w:rsidRDefault="00E54474">
            <w:pPr>
              <w:pStyle w:val="pinakaskeimeno"/>
              <w:jc w:val="right"/>
              <w:rPr>
                <w:rFonts w:ascii="Times New Roman" w:eastAsia="Times New Roman" w:hAnsi="Times New Roman" w:cs="Times New Roman"/>
                <w:color w:val="auto"/>
                <w:w w:val="100"/>
                <w:sz w:val="21"/>
                <w:szCs w:val="21"/>
                <w:lang w:eastAsia="en-US"/>
              </w:rPr>
            </w:pPr>
            <w:r>
              <w:rPr>
                <w:rFonts w:ascii="Times New Roman" w:eastAsia="Times New Roman" w:hAnsi="Times New Roman" w:cs="Times New Roman"/>
                <w:color w:val="auto"/>
                <w:w w:val="100"/>
                <w:sz w:val="21"/>
                <w:szCs w:val="21"/>
                <w:lang w:eastAsia="en-US"/>
              </w:rPr>
              <w:t>Αποθέματα ενάρξεως</w:t>
            </w:r>
          </w:p>
        </w:tc>
        <w:tc>
          <w:tcPr>
            <w:tcW w:w="521" w:type="dxa"/>
            <w:tcMar>
              <w:top w:w="57" w:type="dxa"/>
              <w:left w:w="57" w:type="dxa"/>
              <w:bottom w:w="57" w:type="dxa"/>
              <w:right w:w="57" w:type="dxa"/>
            </w:tcMar>
          </w:tcPr>
          <w:p w:rsidR="00E54474" w:rsidRDefault="00E54474">
            <w:pPr>
              <w:pStyle w:val="NoParagraphStyle"/>
              <w:spacing w:line="240" w:lineRule="auto"/>
              <w:rPr>
                <w:rFonts w:ascii="Times New Roman" w:eastAsia="Times New Roman" w:hAnsi="Times New Roman" w:cs="Times New Roman"/>
                <w:color w:val="auto"/>
                <w:sz w:val="21"/>
                <w:szCs w:val="21"/>
                <w:lang w:eastAsia="en-US"/>
              </w:rPr>
            </w:pPr>
          </w:p>
        </w:tc>
        <w:tc>
          <w:tcPr>
            <w:tcW w:w="860" w:type="dxa"/>
            <w:tcMar>
              <w:top w:w="57" w:type="dxa"/>
              <w:left w:w="57" w:type="dxa"/>
              <w:bottom w:w="57" w:type="dxa"/>
              <w:right w:w="57" w:type="dxa"/>
            </w:tcMar>
            <w:hideMark/>
          </w:tcPr>
          <w:p w:rsidR="00E54474" w:rsidRDefault="00E54474">
            <w:pPr>
              <w:pStyle w:val="pinakaskeimeno"/>
              <w:jc w:val="right"/>
              <w:rPr>
                <w:rFonts w:ascii="Times New Roman" w:eastAsia="Times New Roman" w:hAnsi="Times New Roman" w:cs="Times New Roman"/>
                <w:color w:val="auto"/>
                <w:w w:val="100"/>
                <w:sz w:val="21"/>
                <w:szCs w:val="21"/>
                <w:lang w:eastAsia="en-US"/>
              </w:rPr>
            </w:pPr>
            <w:r>
              <w:rPr>
                <w:rFonts w:ascii="Times New Roman" w:eastAsia="Times New Roman" w:hAnsi="Times New Roman" w:cs="Times New Roman"/>
                <w:color w:val="auto"/>
                <w:w w:val="100"/>
                <w:sz w:val="21"/>
                <w:szCs w:val="21"/>
                <w:lang w:eastAsia="en-US"/>
              </w:rPr>
              <w:t xml:space="preserve"> 100</w:t>
            </w:r>
          </w:p>
        </w:tc>
        <w:tc>
          <w:tcPr>
            <w:tcW w:w="1518" w:type="dxa"/>
            <w:tcMar>
              <w:top w:w="57" w:type="dxa"/>
              <w:left w:w="57" w:type="dxa"/>
              <w:bottom w:w="57" w:type="dxa"/>
              <w:right w:w="57" w:type="dxa"/>
            </w:tcMar>
            <w:hideMark/>
          </w:tcPr>
          <w:p w:rsidR="00E54474" w:rsidRDefault="00E54474">
            <w:pPr>
              <w:pStyle w:val="pinakaskeimeno"/>
              <w:jc w:val="center"/>
              <w:rPr>
                <w:rFonts w:ascii="Times New Roman" w:eastAsia="Times New Roman" w:hAnsi="Times New Roman" w:cs="Times New Roman"/>
                <w:color w:val="auto"/>
                <w:w w:val="100"/>
                <w:sz w:val="21"/>
                <w:szCs w:val="21"/>
                <w:lang w:eastAsia="en-US"/>
              </w:rPr>
            </w:pPr>
            <w:r>
              <w:rPr>
                <w:rFonts w:ascii="Times New Roman" w:eastAsia="Times New Roman" w:hAnsi="Times New Roman" w:cs="Times New Roman"/>
                <w:color w:val="auto"/>
                <w:w w:val="100"/>
                <w:sz w:val="21"/>
                <w:szCs w:val="21"/>
                <w:lang w:eastAsia="en-US"/>
              </w:rPr>
              <w:t xml:space="preserve">       x 15</w:t>
            </w:r>
          </w:p>
        </w:tc>
        <w:tc>
          <w:tcPr>
            <w:tcW w:w="1658" w:type="dxa"/>
            <w:tcMar>
              <w:top w:w="57" w:type="dxa"/>
              <w:left w:w="57" w:type="dxa"/>
              <w:bottom w:w="57" w:type="dxa"/>
              <w:right w:w="57" w:type="dxa"/>
            </w:tcMar>
          </w:tcPr>
          <w:p w:rsidR="00E54474" w:rsidRDefault="00E54474">
            <w:pPr>
              <w:pStyle w:val="NoParagraphStyle"/>
              <w:spacing w:line="240" w:lineRule="auto"/>
              <w:rPr>
                <w:rFonts w:ascii="Times New Roman" w:eastAsia="Times New Roman" w:hAnsi="Times New Roman" w:cs="Times New Roman"/>
                <w:color w:val="auto"/>
                <w:sz w:val="21"/>
                <w:szCs w:val="21"/>
                <w:lang w:eastAsia="en-US"/>
              </w:rPr>
            </w:pPr>
          </w:p>
        </w:tc>
        <w:tc>
          <w:tcPr>
            <w:tcW w:w="1658" w:type="dxa"/>
            <w:tcMar>
              <w:top w:w="57" w:type="dxa"/>
              <w:left w:w="57" w:type="dxa"/>
              <w:bottom w:w="57" w:type="dxa"/>
              <w:right w:w="57" w:type="dxa"/>
            </w:tcMar>
            <w:hideMark/>
          </w:tcPr>
          <w:p w:rsidR="00E54474" w:rsidRDefault="00E54474">
            <w:pPr>
              <w:pStyle w:val="pinakaskeimeno"/>
              <w:jc w:val="right"/>
              <w:rPr>
                <w:rFonts w:ascii="Times New Roman" w:eastAsia="Times New Roman" w:hAnsi="Times New Roman" w:cs="Times New Roman"/>
                <w:color w:val="auto"/>
                <w:w w:val="100"/>
                <w:sz w:val="21"/>
                <w:szCs w:val="21"/>
                <w:lang w:eastAsia="en-US"/>
              </w:rPr>
            </w:pPr>
            <w:r>
              <w:rPr>
                <w:rFonts w:ascii="Times New Roman" w:eastAsia="Times New Roman" w:hAnsi="Times New Roman" w:cs="Times New Roman"/>
                <w:color w:val="auto"/>
                <w:w w:val="100"/>
                <w:sz w:val="21"/>
                <w:szCs w:val="21"/>
                <w:lang w:eastAsia="en-US"/>
              </w:rPr>
              <w:t>= 1.500</w:t>
            </w:r>
          </w:p>
        </w:tc>
      </w:tr>
      <w:tr w:rsidR="00E54474" w:rsidTr="00E54474">
        <w:trPr>
          <w:trHeight w:hRule="exact" w:val="294"/>
        </w:trPr>
        <w:tc>
          <w:tcPr>
            <w:tcW w:w="357" w:type="dxa"/>
            <w:tcMar>
              <w:top w:w="57" w:type="dxa"/>
              <w:left w:w="57" w:type="dxa"/>
              <w:bottom w:w="57" w:type="dxa"/>
              <w:right w:w="57" w:type="dxa"/>
            </w:tcMar>
          </w:tcPr>
          <w:p w:rsidR="00E54474" w:rsidRDefault="00E54474">
            <w:pPr>
              <w:pStyle w:val="NoParagraphStyle"/>
              <w:spacing w:line="240" w:lineRule="auto"/>
              <w:rPr>
                <w:rFonts w:ascii="PFTransit Light" w:hAnsi="PFTransit Light" w:cs="Times New Roman"/>
                <w:b/>
                <w:color w:val="auto"/>
                <w:lang w:eastAsia="en-US"/>
              </w:rPr>
            </w:pPr>
          </w:p>
        </w:tc>
        <w:tc>
          <w:tcPr>
            <w:tcW w:w="2643" w:type="dxa"/>
            <w:tcMar>
              <w:top w:w="57" w:type="dxa"/>
              <w:left w:w="57" w:type="dxa"/>
              <w:bottom w:w="57" w:type="dxa"/>
              <w:right w:w="57" w:type="dxa"/>
            </w:tcMar>
            <w:hideMark/>
          </w:tcPr>
          <w:p w:rsidR="00E54474" w:rsidRDefault="00E54474">
            <w:pPr>
              <w:pStyle w:val="pinakaskeimeno"/>
              <w:jc w:val="right"/>
              <w:rPr>
                <w:rFonts w:ascii="Times New Roman" w:eastAsia="Times New Roman" w:hAnsi="Times New Roman" w:cs="Times New Roman"/>
                <w:color w:val="auto"/>
                <w:w w:val="100"/>
                <w:sz w:val="21"/>
                <w:szCs w:val="21"/>
                <w:lang w:eastAsia="en-US"/>
              </w:rPr>
            </w:pPr>
            <w:r>
              <w:rPr>
                <w:rFonts w:ascii="Times New Roman" w:eastAsia="Times New Roman" w:hAnsi="Times New Roman" w:cs="Times New Roman"/>
                <w:color w:val="auto"/>
                <w:w w:val="100"/>
                <w:sz w:val="21"/>
                <w:szCs w:val="21"/>
                <w:lang w:eastAsia="en-US"/>
              </w:rPr>
              <w:t>Αγορές 12/1</w:t>
            </w:r>
          </w:p>
        </w:tc>
        <w:tc>
          <w:tcPr>
            <w:tcW w:w="521" w:type="dxa"/>
            <w:tcMar>
              <w:top w:w="57" w:type="dxa"/>
              <w:left w:w="57" w:type="dxa"/>
              <w:bottom w:w="57" w:type="dxa"/>
              <w:right w:w="57" w:type="dxa"/>
            </w:tcMar>
          </w:tcPr>
          <w:p w:rsidR="00E54474" w:rsidRDefault="00E54474">
            <w:pPr>
              <w:pStyle w:val="NoParagraphStyle"/>
              <w:spacing w:line="240" w:lineRule="auto"/>
              <w:rPr>
                <w:rFonts w:ascii="Times New Roman" w:eastAsia="Times New Roman" w:hAnsi="Times New Roman" w:cs="Times New Roman"/>
                <w:color w:val="auto"/>
                <w:sz w:val="21"/>
                <w:szCs w:val="21"/>
                <w:lang w:eastAsia="en-US"/>
              </w:rPr>
            </w:pPr>
          </w:p>
        </w:tc>
        <w:tc>
          <w:tcPr>
            <w:tcW w:w="860" w:type="dxa"/>
            <w:tcMar>
              <w:top w:w="57" w:type="dxa"/>
              <w:left w:w="57" w:type="dxa"/>
              <w:bottom w:w="57" w:type="dxa"/>
              <w:right w:w="57" w:type="dxa"/>
            </w:tcMar>
          </w:tcPr>
          <w:p w:rsidR="00E54474" w:rsidRDefault="00E54474">
            <w:pPr>
              <w:pStyle w:val="NoParagraphStyle"/>
              <w:spacing w:line="240" w:lineRule="auto"/>
              <w:rPr>
                <w:rFonts w:ascii="Times New Roman" w:eastAsia="Times New Roman" w:hAnsi="Times New Roman" w:cs="Times New Roman"/>
                <w:color w:val="auto"/>
                <w:sz w:val="21"/>
                <w:szCs w:val="21"/>
                <w:lang w:eastAsia="en-US"/>
              </w:rPr>
            </w:pPr>
          </w:p>
        </w:tc>
        <w:tc>
          <w:tcPr>
            <w:tcW w:w="1518" w:type="dxa"/>
            <w:tcMar>
              <w:top w:w="57" w:type="dxa"/>
              <w:left w:w="57" w:type="dxa"/>
              <w:bottom w:w="57" w:type="dxa"/>
              <w:right w:w="57" w:type="dxa"/>
            </w:tcMar>
            <w:hideMark/>
          </w:tcPr>
          <w:p w:rsidR="00E54474" w:rsidRDefault="00E54474">
            <w:pPr>
              <w:pStyle w:val="pinakaskeimeno"/>
              <w:jc w:val="center"/>
              <w:rPr>
                <w:rFonts w:ascii="Times New Roman" w:eastAsia="Times New Roman" w:hAnsi="Times New Roman" w:cs="Times New Roman"/>
                <w:color w:val="auto"/>
                <w:w w:val="100"/>
                <w:sz w:val="21"/>
                <w:szCs w:val="21"/>
                <w:lang w:eastAsia="en-US"/>
              </w:rPr>
            </w:pPr>
            <w:r>
              <w:rPr>
                <w:rFonts w:ascii="Times New Roman" w:eastAsia="Times New Roman" w:hAnsi="Times New Roman" w:cs="Times New Roman"/>
                <w:color w:val="auto"/>
                <w:w w:val="100"/>
                <w:sz w:val="21"/>
                <w:szCs w:val="21"/>
                <w:lang w:eastAsia="en-US"/>
              </w:rPr>
              <w:t>500 x 18</w:t>
            </w:r>
          </w:p>
        </w:tc>
        <w:tc>
          <w:tcPr>
            <w:tcW w:w="1658" w:type="dxa"/>
            <w:tcMar>
              <w:top w:w="57" w:type="dxa"/>
              <w:left w:w="57" w:type="dxa"/>
              <w:bottom w:w="57" w:type="dxa"/>
              <w:right w:w="57" w:type="dxa"/>
            </w:tcMar>
            <w:hideMark/>
          </w:tcPr>
          <w:p w:rsidR="00E54474" w:rsidRDefault="00E54474">
            <w:pPr>
              <w:pStyle w:val="pinakaskeimeno"/>
              <w:jc w:val="center"/>
              <w:rPr>
                <w:rFonts w:ascii="Times New Roman" w:eastAsia="Times New Roman" w:hAnsi="Times New Roman" w:cs="Times New Roman"/>
                <w:color w:val="auto"/>
                <w:w w:val="100"/>
                <w:sz w:val="21"/>
                <w:szCs w:val="21"/>
                <w:lang w:eastAsia="en-US"/>
              </w:rPr>
            </w:pPr>
            <w:r>
              <w:rPr>
                <w:rFonts w:ascii="Times New Roman" w:eastAsia="Times New Roman" w:hAnsi="Times New Roman" w:cs="Times New Roman"/>
                <w:color w:val="auto"/>
                <w:w w:val="100"/>
                <w:sz w:val="21"/>
                <w:szCs w:val="21"/>
                <w:lang w:eastAsia="en-US"/>
              </w:rPr>
              <w:t xml:space="preserve">              =  9.000</w:t>
            </w:r>
          </w:p>
        </w:tc>
        <w:tc>
          <w:tcPr>
            <w:tcW w:w="1658" w:type="dxa"/>
            <w:tcMar>
              <w:top w:w="57" w:type="dxa"/>
              <w:left w:w="57" w:type="dxa"/>
              <w:bottom w:w="57" w:type="dxa"/>
              <w:right w:w="57" w:type="dxa"/>
            </w:tcMar>
          </w:tcPr>
          <w:p w:rsidR="00E54474" w:rsidRDefault="00E54474">
            <w:pPr>
              <w:pStyle w:val="NoParagraphStyle"/>
              <w:spacing w:line="240" w:lineRule="auto"/>
              <w:rPr>
                <w:rFonts w:ascii="Times New Roman" w:eastAsia="Times New Roman" w:hAnsi="Times New Roman" w:cs="Times New Roman"/>
                <w:color w:val="auto"/>
                <w:sz w:val="21"/>
                <w:szCs w:val="21"/>
                <w:lang w:eastAsia="en-US"/>
              </w:rPr>
            </w:pPr>
          </w:p>
        </w:tc>
      </w:tr>
      <w:tr w:rsidR="00E54474" w:rsidTr="00E54474">
        <w:trPr>
          <w:trHeight w:hRule="exact" w:val="292"/>
        </w:trPr>
        <w:tc>
          <w:tcPr>
            <w:tcW w:w="357" w:type="dxa"/>
            <w:tcMar>
              <w:top w:w="57" w:type="dxa"/>
              <w:left w:w="57" w:type="dxa"/>
              <w:bottom w:w="57" w:type="dxa"/>
              <w:right w:w="57" w:type="dxa"/>
            </w:tcMar>
          </w:tcPr>
          <w:p w:rsidR="00E54474" w:rsidRDefault="00E54474">
            <w:pPr>
              <w:pStyle w:val="NoParagraphStyle"/>
              <w:spacing w:line="240" w:lineRule="auto"/>
              <w:rPr>
                <w:rFonts w:ascii="PFTransit Light" w:hAnsi="PFTransit Light" w:cs="Times New Roman"/>
                <w:b/>
                <w:color w:val="auto"/>
                <w:lang w:eastAsia="en-US"/>
              </w:rPr>
            </w:pPr>
          </w:p>
        </w:tc>
        <w:tc>
          <w:tcPr>
            <w:tcW w:w="2643" w:type="dxa"/>
            <w:tcMar>
              <w:top w:w="57" w:type="dxa"/>
              <w:left w:w="57" w:type="dxa"/>
              <w:bottom w:w="57" w:type="dxa"/>
              <w:right w:w="57" w:type="dxa"/>
            </w:tcMar>
            <w:hideMark/>
          </w:tcPr>
          <w:p w:rsidR="00E54474" w:rsidRDefault="00E54474">
            <w:pPr>
              <w:pStyle w:val="pinakaskeimeno"/>
              <w:jc w:val="right"/>
              <w:rPr>
                <w:rFonts w:ascii="Times New Roman" w:eastAsia="Times New Roman" w:hAnsi="Times New Roman" w:cs="Times New Roman"/>
                <w:color w:val="auto"/>
                <w:w w:val="100"/>
                <w:sz w:val="21"/>
                <w:szCs w:val="21"/>
                <w:lang w:eastAsia="en-US"/>
              </w:rPr>
            </w:pPr>
            <w:r>
              <w:rPr>
                <w:rFonts w:ascii="Times New Roman" w:eastAsia="Times New Roman" w:hAnsi="Times New Roman" w:cs="Times New Roman"/>
                <w:color w:val="auto"/>
                <w:w w:val="100"/>
                <w:sz w:val="21"/>
                <w:szCs w:val="21"/>
                <w:lang w:eastAsia="en-US"/>
              </w:rPr>
              <w:t>26/1</w:t>
            </w:r>
          </w:p>
        </w:tc>
        <w:tc>
          <w:tcPr>
            <w:tcW w:w="521" w:type="dxa"/>
            <w:tcMar>
              <w:top w:w="57" w:type="dxa"/>
              <w:left w:w="57" w:type="dxa"/>
              <w:bottom w:w="57" w:type="dxa"/>
              <w:right w:w="57" w:type="dxa"/>
            </w:tcMar>
          </w:tcPr>
          <w:p w:rsidR="00E54474" w:rsidRDefault="00E54474">
            <w:pPr>
              <w:pStyle w:val="NoParagraphStyle"/>
              <w:spacing w:line="240" w:lineRule="auto"/>
              <w:rPr>
                <w:rFonts w:ascii="Times New Roman" w:eastAsia="Times New Roman" w:hAnsi="Times New Roman" w:cs="Times New Roman"/>
                <w:color w:val="auto"/>
                <w:sz w:val="21"/>
                <w:szCs w:val="21"/>
                <w:lang w:eastAsia="en-US"/>
              </w:rPr>
            </w:pPr>
          </w:p>
        </w:tc>
        <w:tc>
          <w:tcPr>
            <w:tcW w:w="860" w:type="dxa"/>
            <w:tcMar>
              <w:top w:w="57" w:type="dxa"/>
              <w:left w:w="57" w:type="dxa"/>
              <w:bottom w:w="57" w:type="dxa"/>
              <w:right w:w="57" w:type="dxa"/>
            </w:tcMar>
          </w:tcPr>
          <w:p w:rsidR="00E54474" w:rsidRDefault="00E54474">
            <w:pPr>
              <w:pStyle w:val="NoParagraphStyle"/>
              <w:spacing w:line="240" w:lineRule="auto"/>
              <w:rPr>
                <w:rFonts w:ascii="Times New Roman" w:eastAsia="Times New Roman" w:hAnsi="Times New Roman" w:cs="Times New Roman"/>
                <w:color w:val="auto"/>
                <w:sz w:val="21"/>
                <w:szCs w:val="21"/>
                <w:lang w:eastAsia="en-US"/>
              </w:rPr>
            </w:pPr>
          </w:p>
        </w:tc>
        <w:tc>
          <w:tcPr>
            <w:tcW w:w="1518" w:type="dxa"/>
            <w:tcMar>
              <w:top w:w="57" w:type="dxa"/>
              <w:left w:w="57" w:type="dxa"/>
              <w:bottom w:w="57" w:type="dxa"/>
              <w:right w:w="57" w:type="dxa"/>
            </w:tcMar>
            <w:hideMark/>
          </w:tcPr>
          <w:p w:rsidR="00E54474" w:rsidRDefault="00E54474">
            <w:pPr>
              <w:pStyle w:val="pinakaskeimeno"/>
              <w:jc w:val="center"/>
              <w:rPr>
                <w:rFonts w:ascii="Times New Roman" w:eastAsia="Times New Roman" w:hAnsi="Times New Roman" w:cs="Times New Roman"/>
                <w:color w:val="auto"/>
                <w:w w:val="100"/>
                <w:sz w:val="21"/>
                <w:szCs w:val="21"/>
                <w:lang w:eastAsia="en-US"/>
              </w:rPr>
            </w:pPr>
            <w:r>
              <w:rPr>
                <w:rFonts w:ascii="Times New Roman" w:eastAsia="Times New Roman" w:hAnsi="Times New Roman" w:cs="Times New Roman"/>
                <w:color w:val="auto"/>
                <w:w w:val="100"/>
                <w:sz w:val="21"/>
                <w:szCs w:val="21"/>
                <w:lang w:eastAsia="en-US"/>
              </w:rPr>
              <w:t>600 x 20</w:t>
            </w:r>
          </w:p>
        </w:tc>
        <w:tc>
          <w:tcPr>
            <w:tcW w:w="1658" w:type="dxa"/>
            <w:tcMar>
              <w:top w:w="57" w:type="dxa"/>
              <w:left w:w="57" w:type="dxa"/>
              <w:bottom w:w="57" w:type="dxa"/>
              <w:right w:w="57" w:type="dxa"/>
            </w:tcMar>
            <w:hideMark/>
          </w:tcPr>
          <w:p w:rsidR="00E54474" w:rsidRDefault="00E54474">
            <w:pPr>
              <w:pStyle w:val="pinakaskeimeno"/>
              <w:jc w:val="right"/>
              <w:rPr>
                <w:rFonts w:ascii="Times New Roman" w:eastAsia="Times New Roman" w:hAnsi="Times New Roman" w:cs="Times New Roman"/>
                <w:color w:val="auto"/>
                <w:w w:val="100"/>
                <w:sz w:val="21"/>
                <w:szCs w:val="21"/>
                <w:lang w:eastAsia="en-US"/>
              </w:rPr>
            </w:pPr>
            <w:r>
              <w:rPr>
                <w:rFonts w:ascii="Times New Roman" w:eastAsia="Times New Roman" w:hAnsi="Times New Roman" w:cs="Times New Roman"/>
                <w:color w:val="auto"/>
                <w:w w:val="100"/>
                <w:sz w:val="21"/>
                <w:szCs w:val="21"/>
                <w:lang w:eastAsia="en-US"/>
              </w:rPr>
              <w:t>= 12.000</w:t>
            </w:r>
          </w:p>
        </w:tc>
        <w:tc>
          <w:tcPr>
            <w:tcW w:w="1658" w:type="dxa"/>
            <w:tcMar>
              <w:top w:w="57" w:type="dxa"/>
              <w:left w:w="57" w:type="dxa"/>
              <w:bottom w:w="57" w:type="dxa"/>
              <w:right w:w="57" w:type="dxa"/>
            </w:tcMar>
          </w:tcPr>
          <w:p w:rsidR="00E54474" w:rsidRDefault="00E54474">
            <w:pPr>
              <w:pStyle w:val="NoParagraphStyle"/>
              <w:spacing w:line="240" w:lineRule="auto"/>
              <w:rPr>
                <w:rFonts w:ascii="Times New Roman" w:eastAsia="Times New Roman" w:hAnsi="Times New Roman" w:cs="Times New Roman"/>
                <w:color w:val="auto"/>
                <w:sz w:val="21"/>
                <w:szCs w:val="21"/>
                <w:lang w:eastAsia="en-US"/>
              </w:rPr>
            </w:pPr>
          </w:p>
        </w:tc>
      </w:tr>
      <w:tr w:rsidR="00E54474" w:rsidTr="00E54474">
        <w:trPr>
          <w:trHeight w:hRule="exact" w:val="881"/>
        </w:trPr>
        <w:tc>
          <w:tcPr>
            <w:tcW w:w="357" w:type="dxa"/>
            <w:tcMar>
              <w:top w:w="57" w:type="dxa"/>
              <w:left w:w="57" w:type="dxa"/>
              <w:bottom w:w="57" w:type="dxa"/>
              <w:right w:w="57" w:type="dxa"/>
            </w:tcMar>
          </w:tcPr>
          <w:p w:rsidR="00E54474" w:rsidRDefault="00E54474">
            <w:pPr>
              <w:pStyle w:val="NoParagraphStyle"/>
              <w:spacing w:line="240" w:lineRule="auto"/>
              <w:rPr>
                <w:rFonts w:ascii="PFTransit Light" w:hAnsi="PFTransit Light" w:cs="Times New Roman"/>
                <w:b/>
                <w:color w:val="auto"/>
                <w:lang w:eastAsia="en-US"/>
              </w:rPr>
            </w:pPr>
          </w:p>
        </w:tc>
        <w:tc>
          <w:tcPr>
            <w:tcW w:w="2643" w:type="dxa"/>
            <w:tcMar>
              <w:top w:w="57" w:type="dxa"/>
              <w:left w:w="57" w:type="dxa"/>
              <w:bottom w:w="57" w:type="dxa"/>
              <w:right w:w="57" w:type="dxa"/>
            </w:tcMar>
            <w:hideMark/>
          </w:tcPr>
          <w:p w:rsidR="00E54474" w:rsidRDefault="00E54474">
            <w:pPr>
              <w:pStyle w:val="pinakaskeimeno"/>
              <w:jc w:val="right"/>
              <w:rPr>
                <w:rFonts w:ascii="Times New Roman" w:eastAsia="Times New Roman" w:hAnsi="Times New Roman" w:cs="Times New Roman"/>
                <w:color w:val="auto"/>
                <w:w w:val="100"/>
                <w:sz w:val="21"/>
                <w:szCs w:val="21"/>
                <w:lang w:eastAsia="en-US"/>
              </w:rPr>
            </w:pPr>
            <w:r>
              <w:rPr>
                <w:rFonts w:ascii="Times New Roman" w:eastAsia="Times New Roman" w:hAnsi="Times New Roman" w:cs="Times New Roman"/>
                <w:color w:val="auto"/>
                <w:w w:val="100"/>
                <w:sz w:val="21"/>
                <w:szCs w:val="21"/>
                <w:lang w:eastAsia="en-US"/>
              </w:rPr>
              <w:t>31/1</w:t>
            </w:r>
          </w:p>
        </w:tc>
        <w:tc>
          <w:tcPr>
            <w:tcW w:w="521" w:type="dxa"/>
            <w:tcMar>
              <w:top w:w="57" w:type="dxa"/>
              <w:left w:w="57" w:type="dxa"/>
              <w:bottom w:w="57" w:type="dxa"/>
              <w:right w:w="57" w:type="dxa"/>
            </w:tcMar>
          </w:tcPr>
          <w:p w:rsidR="00E54474" w:rsidRDefault="00E54474">
            <w:pPr>
              <w:pStyle w:val="NoParagraphStyle"/>
              <w:spacing w:line="240" w:lineRule="auto"/>
              <w:rPr>
                <w:rFonts w:ascii="Times New Roman" w:eastAsia="Times New Roman" w:hAnsi="Times New Roman" w:cs="Times New Roman"/>
                <w:color w:val="auto"/>
                <w:sz w:val="21"/>
                <w:szCs w:val="21"/>
                <w:lang w:eastAsia="en-US"/>
              </w:rPr>
            </w:pPr>
          </w:p>
        </w:tc>
        <w:tc>
          <w:tcPr>
            <w:tcW w:w="860" w:type="dxa"/>
            <w:tcMar>
              <w:top w:w="57" w:type="dxa"/>
              <w:left w:w="57" w:type="dxa"/>
              <w:bottom w:w="57" w:type="dxa"/>
              <w:right w:w="57" w:type="dxa"/>
            </w:tcMar>
            <w:hideMark/>
          </w:tcPr>
          <w:p w:rsidR="00E54474" w:rsidRDefault="00E54474">
            <w:pPr>
              <w:pStyle w:val="pinakaskeimeno"/>
              <w:jc w:val="right"/>
              <w:rPr>
                <w:rFonts w:ascii="Times New Roman" w:eastAsia="Times New Roman" w:hAnsi="Times New Roman" w:cs="Times New Roman"/>
                <w:color w:val="auto"/>
                <w:w w:val="100"/>
                <w:sz w:val="21"/>
                <w:szCs w:val="21"/>
                <w:u w:val="single"/>
                <w:lang w:eastAsia="en-US"/>
              </w:rPr>
            </w:pPr>
            <w:r>
              <w:rPr>
                <w:rFonts w:ascii="Times New Roman" w:eastAsia="Times New Roman" w:hAnsi="Times New Roman" w:cs="Times New Roman"/>
                <w:color w:val="auto"/>
                <w:w w:val="100"/>
                <w:sz w:val="21"/>
                <w:szCs w:val="21"/>
                <w:u w:val="single"/>
                <w:lang w:eastAsia="en-US"/>
              </w:rPr>
              <w:t>1.400</w:t>
            </w:r>
          </w:p>
          <w:p w:rsidR="00E54474" w:rsidRDefault="00E54474">
            <w:pPr>
              <w:pStyle w:val="pinakaskeimeno"/>
              <w:jc w:val="center"/>
              <w:rPr>
                <w:u w:val="double"/>
                <w:lang w:eastAsia="en-US"/>
              </w:rPr>
            </w:pPr>
            <w:r>
              <w:rPr>
                <w:rFonts w:ascii="Times New Roman" w:eastAsia="Times New Roman" w:hAnsi="Times New Roman" w:cs="Times New Roman"/>
                <w:color w:val="auto"/>
                <w:w w:val="100"/>
                <w:sz w:val="21"/>
                <w:szCs w:val="21"/>
                <w:lang w:eastAsia="en-US"/>
              </w:rPr>
              <w:t xml:space="preserve">    </w:t>
            </w:r>
            <w:r>
              <w:rPr>
                <w:rFonts w:ascii="Times New Roman" w:eastAsia="Times New Roman" w:hAnsi="Times New Roman" w:cs="Times New Roman"/>
                <w:color w:val="auto"/>
                <w:w w:val="100"/>
                <w:sz w:val="21"/>
                <w:szCs w:val="21"/>
                <w:u w:val="double"/>
                <w:lang w:eastAsia="en-US"/>
              </w:rPr>
              <w:t>1.500</w:t>
            </w:r>
          </w:p>
        </w:tc>
        <w:tc>
          <w:tcPr>
            <w:tcW w:w="1518" w:type="dxa"/>
            <w:tcMar>
              <w:top w:w="57" w:type="dxa"/>
              <w:left w:w="57" w:type="dxa"/>
              <w:bottom w:w="57" w:type="dxa"/>
              <w:right w:w="57" w:type="dxa"/>
            </w:tcMar>
            <w:hideMark/>
          </w:tcPr>
          <w:p w:rsidR="00E54474" w:rsidRDefault="00E54474">
            <w:pPr>
              <w:pStyle w:val="pinakaskeimeno"/>
              <w:jc w:val="center"/>
              <w:rPr>
                <w:rFonts w:ascii="Times New Roman" w:eastAsia="Times New Roman" w:hAnsi="Times New Roman" w:cs="Times New Roman"/>
                <w:color w:val="auto"/>
                <w:w w:val="100"/>
                <w:sz w:val="21"/>
                <w:szCs w:val="21"/>
                <w:lang w:eastAsia="en-US"/>
              </w:rPr>
            </w:pPr>
            <w:r>
              <w:rPr>
                <w:rFonts w:ascii="Times New Roman" w:eastAsia="Times New Roman" w:hAnsi="Times New Roman" w:cs="Times New Roman"/>
                <w:color w:val="auto"/>
                <w:w w:val="100"/>
                <w:sz w:val="21"/>
                <w:szCs w:val="21"/>
                <w:lang w:eastAsia="en-US"/>
              </w:rPr>
              <w:t>300 x 25</w:t>
            </w:r>
          </w:p>
        </w:tc>
        <w:tc>
          <w:tcPr>
            <w:tcW w:w="1658" w:type="dxa"/>
            <w:tcBorders>
              <w:top w:val="nil"/>
              <w:left w:val="nil"/>
              <w:bottom w:val="single" w:sz="4" w:space="0" w:color="000000"/>
              <w:right w:val="nil"/>
            </w:tcBorders>
            <w:tcMar>
              <w:top w:w="57" w:type="dxa"/>
              <w:left w:w="57" w:type="dxa"/>
              <w:bottom w:w="57" w:type="dxa"/>
              <w:right w:w="57" w:type="dxa"/>
            </w:tcMar>
            <w:hideMark/>
          </w:tcPr>
          <w:p w:rsidR="00E54474" w:rsidRDefault="00E54474">
            <w:pPr>
              <w:pStyle w:val="pinakaskeimeno"/>
              <w:jc w:val="center"/>
              <w:rPr>
                <w:rFonts w:ascii="Times New Roman" w:eastAsia="Times New Roman" w:hAnsi="Times New Roman" w:cs="Times New Roman"/>
                <w:color w:val="auto"/>
                <w:w w:val="100"/>
                <w:sz w:val="21"/>
                <w:szCs w:val="21"/>
                <w:lang w:eastAsia="en-US"/>
              </w:rPr>
            </w:pPr>
            <w:r>
              <w:rPr>
                <w:rFonts w:ascii="Times New Roman" w:eastAsia="Times New Roman" w:hAnsi="Times New Roman" w:cs="Times New Roman"/>
                <w:color w:val="auto"/>
                <w:w w:val="100"/>
                <w:sz w:val="21"/>
                <w:szCs w:val="21"/>
                <w:lang w:eastAsia="en-US"/>
              </w:rPr>
              <w:t xml:space="preserve">             =  </w:t>
            </w:r>
            <w:r>
              <w:rPr>
                <w:rFonts w:ascii="Times New Roman" w:eastAsia="Times New Roman" w:hAnsi="Times New Roman" w:cs="Times New Roman"/>
                <w:color w:val="auto"/>
                <w:w w:val="100"/>
                <w:sz w:val="21"/>
                <w:szCs w:val="21"/>
                <w:u w:val="single"/>
                <w:lang w:eastAsia="en-US"/>
              </w:rPr>
              <w:t xml:space="preserve"> 7.500</w:t>
            </w:r>
            <w:r>
              <w:rPr>
                <w:rFonts w:ascii="Times New Roman" w:eastAsia="Times New Roman" w:hAnsi="Times New Roman" w:cs="Times New Roman"/>
                <w:color w:val="auto"/>
                <w:w w:val="100"/>
                <w:sz w:val="21"/>
                <w:szCs w:val="21"/>
                <w:lang w:eastAsia="en-US"/>
              </w:rPr>
              <w:t xml:space="preserve"> </w:t>
            </w:r>
          </w:p>
        </w:tc>
        <w:tc>
          <w:tcPr>
            <w:tcW w:w="1658" w:type="dxa"/>
            <w:tcBorders>
              <w:top w:val="nil"/>
              <w:left w:val="nil"/>
              <w:bottom w:val="single" w:sz="4" w:space="0" w:color="000000"/>
              <w:right w:val="nil"/>
            </w:tcBorders>
            <w:tcMar>
              <w:top w:w="57" w:type="dxa"/>
              <w:left w:w="57" w:type="dxa"/>
              <w:bottom w:w="57" w:type="dxa"/>
              <w:right w:w="57" w:type="dxa"/>
            </w:tcMar>
            <w:hideMark/>
          </w:tcPr>
          <w:p w:rsidR="00E54474" w:rsidRDefault="00E54474">
            <w:pPr>
              <w:pStyle w:val="pinakaskeimeno"/>
              <w:jc w:val="right"/>
              <w:rPr>
                <w:rFonts w:ascii="Times New Roman" w:eastAsia="Times New Roman" w:hAnsi="Times New Roman" w:cs="Times New Roman"/>
                <w:color w:val="auto"/>
                <w:w w:val="100"/>
                <w:sz w:val="21"/>
                <w:szCs w:val="21"/>
                <w:lang w:eastAsia="en-US"/>
              </w:rPr>
            </w:pPr>
            <w:r>
              <w:rPr>
                <w:rFonts w:ascii="Times New Roman" w:eastAsia="Times New Roman" w:hAnsi="Times New Roman" w:cs="Times New Roman"/>
                <w:color w:val="auto"/>
                <w:w w:val="100"/>
                <w:sz w:val="21"/>
                <w:szCs w:val="21"/>
                <w:lang w:eastAsia="en-US"/>
              </w:rPr>
              <w:t xml:space="preserve">  = </w:t>
            </w:r>
            <w:r>
              <w:rPr>
                <w:rFonts w:ascii="Times New Roman" w:eastAsia="Times New Roman" w:hAnsi="Times New Roman" w:cs="Times New Roman"/>
                <w:color w:val="auto"/>
                <w:w w:val="100"/>
                <w:sz w:val="21"/>
                <w:szCs w:val="21"/>
                <w:u w:val="single"/>
                <w:lang w:eastAsia="en-US"/>
              </w:rPr>
              <w:t>28.500</w:t>
            </w:r>
          </w:p>
          <w:p w:rsidR="00E54474" w:rsidRDefault="00E54474">
            <w:pPr>
              <w:tabs>
                <w:tab w:val="left" w:pos="1290"/>
              </w:tabs>
              <w:rPr>
                <w:sz w:val="21"/>
                <w:szCs w:val="21"/>
                <w:u w:val="double"/>
                <w:lang w:eastAsia="en-US"/>
              </w:rPr>
            </w:pPr>
            <w:r>
              <w:rPr>
                <w:sz w:val="21"/>
                <w:szCs w:val="21"/>
                <w:lang w:eastAsia="en-US"/>
              </w:rPr>
              <w:t xml:space="preserve">                </w:t>
            </w:r>
            <w:r>
              <w:rPr>
                <w:sz w:val="21"/>
                <w:szCs w:val="21"/>
                <w:u w:val="double"/>
                <w:lang w:eastAsia="en-US"/>
              </w:rPr>
              <w:t>30.000</w:t>
            </w:r>
          </w:p>
        </w:tc>
      </w:tr>
    </w:tbl>
    <w:p w:rsidR="00E54474" w:rsidRDefault="00E54474" w:rsidP="00E54474">
      <w:pPr>
        <w:pStyle w:val="esoxes"/>
        <w:ind w:left="-851" w:firstLine="0"/>
        <w:rPr>
          <w:rFonts w:ascii="Times New Roman" w:eastAsia="Times New Roman" w:hAnsi="Times New Roman" w:cs="Times New Roman"/>
          <w:color w:val="auto"/>
          <w:sz w:val="21"/>
          <w:szCs w:val="21"/>
        </w:rPr>
      </w:pPr>
    </w:p>
    <w:tbl>
      <w:tblPr>
        <w:tblW w:w="9240" w:type="dxa"/>
        <w:tblInd w:w="-795" w:type="dxa"/>
        <w:tblLayout w:type="fixed"/>
        <w:tblCellMar>
          <w:left w:w="0" w:type="dxa"/>
          <w:right w:w="0" w:type="dxa"/>
        </w:tblCellMar>
        <w:tblLook w:val="04A0" w:firstRow="1" w:lastRow="0" w:firstColumn="1" w:lastColumn="0" w:noHBand="0" w:noVBand="1"/>
      </w:tblPr>
      <w:tblGrid>
        <w:gridCol w:w="326"/>
        <w:gridCol w:w="2659"/>
        <w:gridCol w:w="850"/>
        <w:gridCol w:w="1641"/>
        <w:gridCol w:w="203"/>
        <w:gridCol w:w="3561"/>
      </w:tblGrid>
      <w:tr w:rsidR="00E54474" w:rsidTr="00E54474">
        <w:trPr>
          <w:trHeight w:val="23"/>
        </w:trPr>
        <w:tc>
          <w:tcPr>
            <w:tcW w:w="326" w:type="dxa"/>
            <w:vMerge w:val="restart"/>
            <w:tcBorders>
              <w:top w:val="single" w:sz="6" w:space="0" w:color="000000"/>
              <w:left w:val="single" w:sz="6" w:space="0" w:color="000000"/>
              <w:bottom w:val="single" w:sz="6" w:space="0" w:color="000000"/>
              <w:right w:val="single" w:sz="6" w:space="0" w:color="000000"/>
            </w:tcBorders>
            <w:tcMar>
              <w:top w:w="62" w:type="dxa"/>
              <w:left w:w="62" w:type="dxa"/>
              <w:bottom w:w="62" w:type="dxa"/>
              <w:right w:w="62" w:type="dxa"/>
            </w:tcMar>
            <w:vAlign w:val="center"/>
          </w:tcPr>
          <w:p w:rsidR="00E54474" w:rsidRDefault="00E54474">
            <w:pPr>
              <w:pStyle w:val="NoParagraphStyle"/>
              <w:spacing w:line="240" w:lineRule="auto"/>
              <w:ind w:left="-851"/>
              <w:rPr>
                <w:rFonts w:ascii="PFTransit Light" w:hAnsi="PFTransit Light" w:cs="Times New Roman"/>
                <w:color w:val="auto"/>
                <w:lang w:eastAsia="en-US"/>
              </w:rPr>
            </w:pPr>
          </w:p>
        </w:tc>
        <w:tc>
          <w:tcPr>
            <w:tcW w:w="2658" w:type="dxa"/>
            <w:tcBorders>
              <w:top w:val="single" w:sz="6" w:space="0" w:color="000000"/>
              <w:left w:val="single" w:sz="6" w:space="0" w:color="000000"/>
              <w:bottom w:val="single" w:sz="4" w:space="0" w:color="000000"/>
              <w:right w:val="single" w:sz="6" w:space="0" w:color="000000"/>
            </w:tcBorders>
            <w:tcMar>
              <w:top w:w="62" w:type="dxa"/>
              <w:left w:w="62" w:type="dxa"/>
              <w:bottom w:w="62" w:type="dxa"/>
              <w:right w:w="62" w:type="dxa"/>
            </w:tcMar>
            <w:vAlign w:val="center"/>
            <w:hideMark/>
          </w:tcPr>
          <w:p w:rsidR="00E54474" w:rsidRDefault="00E54474">
            <w:pPr>
              <w:pStyle w:val="pinakaskeimeno"/>
              <w:ind w:left="-851"/>
              <w:jc w:val="right"/>
              <w:rPr>
                <w:rFonts w:ascii="Times New Roman" w:eastAsia="Times New Roman" w:hAnsi="Times New Roman" w:cs="Times New Roman"/>
                <w:color w:val="auto"/>
                <w:w w:val="100"/>
                <w:sz w:val="21"/>
                <w:szCs w:val="21"/>
                <w:lang w:eastAsia="en-US"/>
              </w:rPr>
            </w:pPr>
            <w:r>
              <w:rPr>
                <w:rFonts w:ascii="Times New Roman" w:eastAsia="Times New Roman" w:hAnsi="Times New Roman" w:cs="Times New Roman"/>
                <w:color w:val="auto"/>
                <w:w w:val="100"/>
                <w:sz w:val="21"/>
                <w:szCs w:val="21"/>
                <w:lang w:eastAsia="en-US"/>
              </w:rPr>
              <w:t>1.500 + 28.500</w:t>
            </w:r>
          </w:p>
        </w:tc>
        <w:tc>
          <w:tcPr>
            <w:tcW w:w="850" w:type="dxa"/>
            <w:vMerge w:val="restart"/>
            <w:tcBorders>
              <w:top w:val="single" w:sz="6" w:space="0" w:color="000000"/>
              <w:left w:val="single" w:sz="6" w:space="0" w:color="000000"/>
              <w:bottom w:val="single" w:sz="6" w:space="0" w:color="000000"/>
              <w:right w:val="single" w:sz="6" w:space="0" w:color="000000"/>
            </w:tcBorders>
            <w:tcMar>
              <w:top w:w="62" w:type="dxa"/>
              <w:left w:w="62" w:type="dxa"/>
              <w:bottom w:w="62" w:type="dxa"/>
              <w:right w:w="62" w:type="dxa"/>
            </w:tcMar>
            <w:vAlign w:val="center"/>
            <w:hideMark/>
          </w:tcPr>
          <w:p w:rsidR="00E54474" w:rsidRDefault="00E54474">
            <w:pPr>
              <w:pStyle w:val="pinakaskeimeno"/>
              <w:ind w:left="-851"/>
              <w:jc w:val="right"/>
              <w:rPr>
                <w:rFonts w:ascii="Times New Roman" w:eastAsia="Times New Roman" w:hAnsi="Times New Roman" w:cs="Times New Roman"/>
                <w:color w:val="auto"/>
                <w:w w:val="100"/>
                <w:sz w:val="21"/>
                <w:szCs w:val="21"/>
                <w:lang w:eastAsia="en-US"/>
              </w:rPr>
            </w:pPr>
            <w:r>
              <w:rPr>
                <w:rFonts w:ascii="Times New Roman" w:eastAsia="Times New Roman" w:hAnsi="Times New Roman" w:cs="Times New Roman"/>
                <w:color w:val="auto"/>
                <w:w w:val="100"/>
                <w:sz w:val="21"/>
                <w:szCs w:val="21"/>
                <w:lang w:eastAsia="en-US"/>
              </w:rPr>
              <w:t>=</w:t>
            </w:r>
          </w:p>
        </w:tc>
        <w:tc>
          <w:tcPr>
            <w:tcW w:w="1640" w:type="dxa"/>
            <w:tcBorders>
              <w:top w:val="single" w:sz="6" w:space="0" w:color="000000"/>
              <w:left w:val="single" w:sz="6" w:space="0" w:color="000000"/>
              <w:bottom w:val="single" w:sz="4" w:space="0" w:color="000000"/>
              <w:right w:val="single" w:sz="6" w:space="0" w:color="000000"/>
            </w:tcBorders>
            <w:tcMar>
              <w:top w:w="62" w:type="dxa"/>
              <w:left w:w="62" w:type="dxa"/>
              <w:bottom w:w="62" w:type="dxa"/>
              <w:right w:w="62" w:type="dxa"/>
            </w:tcMar>
            <w:hideMark/>
          </w:tcPr>
          <w:p w:rsidR="00E54474" w:rsidRDefault="00E54474">
            <w:pPr>
              <w:pStyle w:val="pinakaskeimeno"/>
              <w:ind w:left="-851"/>
              <w:jc w:val="right"/>
              <w:rPr>
                <w:rFonts w:ascii="Times New Roman" w:eastAsia="Times New Roman" w:hAnsi="Times New Roman" w:cs="Times New Roman"/>
                <w:color w:val="auto"/>
                <w:w w:val="100"/>
                <w:sz w:val="21"/>
                <w:szCs w:val="21"/>
                <w:lang w:eastAsia="en-US"/>
              </w:rPr>
            </w:pPr>
            <w:r>
              <w:rPr>
                <w:rFonts w:ascii="Times New Roman" w:eastAsia="Times New Roman" w:hAnsi="Times New Roman" w:cs="Times New Roman"/>
                <w:color w:val="auto"/>
                <w:w w:val="100"/>
                <w:sz w:val="21"/>
                <w:szCs w:val="21"/>
                <w:lang w:eastAsia="en-US"/>
              </w:rPr>
              <w:t>30.000</w:t>
            </w:r>
          </w:p>
        </w:tc>
        <w:tc>
          <w:tcPr>
            <w:tcW w:w="203" w:type="dxa"/>
            <w:vMerge w:val="restart"/>
            <w:tcBorders>
              <w:top w:val="single" w:sz="6" w:space="0" w:color="000000"/>
              <w:left w:val="single" w:sz="6" w:space="0" w:color="000000"/>
              <w:bottom w:val="single" w:sz="6" w:space="0" w:color="000000"/>
              <w:right w:val="single" w:sz="6" w:space="0" w:color="000000"/>
            </w:tcBorders>
            <w:tcMar>
              <w:top w:w="62" w:type="dxa"/>
              <w:left w:w="62" w:type="dxa"/>
              <w:bottom w:w="62" w:type="dxa"/>
              <w:right w:w="62" w:type="dxa"/>
            </w:tcMar>
            <w:vAlign w:val="center"/>
            <w:hideMark/>
          </w:tcPr>
          <w:p w:rsidR="00E54474" w:rsidRDefault="00E54474">
            <w:pPr>
              <w:pStyle w:val="pinakaskeimeno"/>
              <w:ind w:left="-851"/>
              <w:jc w:val="right"/>
              <w:rPr>
                <w:lang w:eastAsia="en-US"/>
              </w:rPr>
            </w:pPr>
            <w:r>
              <w:rPr>
                <w:lang w:eastAsia="en-US"/>
              </w:rPr>
              <w:t>=</w:t>
            </w:r>
          </w:p>
        </w:tc>
        <w:tc>
          <w:tcPr>
            <w:tcW w:w="3560" w:type="dxa"/>
            <w:vMerge w:val="restart"/>
            <w:tcBorders>
              <w:top w:val="single" w:sz="6" w:space="0" w:color="000000"/>
              <w:left w:val="single" w:sz="6" w:space="0" w:color="000000"/>
              <w:bottom w:val="single" w:sz="6" w:space="0" w:color="000000"/>
              <w:right w:val="single" w:sz="6" w:space="0" w:color="000000"/>
            </w:tcBorders>
            <w:tcMar>
              <w:top w:w="62" w:type="dxa"/>
              <w:left w:w="62" w:type="dxa"/>
              <w:bottom w:w="62" w:type="dxa"/>
              <w:right w:w="62" w:type="dxa"/>
            </w:tcMar>
            <w:vAlign w:val="center"/>
            <w:hideMark/>
          </w:tcPr>
          <w:p w:rsidR="00E54474" w:rsidRDefault="00E54474">
            <w:pPr>
              <w:pStyle w:val="pinakaskeimeno"/>
              <w:ind w:left="-851"/>
              <w:jc w:val="right"/>
              <w:rPr>
                <w:rFonts w:ascii="Times New Roman" w:eastAsia="Times New Roman" w:hAnsi="Times New Roman" w:cs="Times New Roman"/>
                <w:color w:val="auto"/>
                <w:w w:val="100"/>
                <w:sz w:val="21"/>
                <w:szCs w:val="21"/>
                <w:lang w:eastAsia="en-US"/>
              </w:rPr>
            </w:pPr>
            <w:r>
              <w:rPr>
                <w:rFonts w:ascii="Times New Roman" w:eastAsia="Times New Roman" w:hAnsi="Times New Roman" w:cs="Times New Roman"/>
                <w:color w:val="auto"/>
                <w:w w:val="100"/>
                <w:sz w:val="21"/>
                <w:szCs w:val="21"/>
                <w:lang w:eastAsia="en-US"/>
              </w:rPr>
              <w:t xml:space="preserve">Κόστος κτήσεως με τη μέθοδο του </w:t>
            </w:r>
          </w:p>
          <w:p w:rsidR="00E54474" w:rsidRDefault="00E54474">
            <w:pPr>
              <w:pStyle w:val="pinakaskeimeno"/>
              <w:ind w:left="-851"/>
              <w:jc w:val="center"/>
              <w:rPr>
                <w:rFonts w:ascii="Times New Roman" w:eastAsia="Times New Roman" w:hAnsi="Times New Roman" w:cs="Times New Roman"/>
                <w:color w:val="auto"/>
                <w:w w:val="100"/>
                <w:sz w:val="21"/>
                <w:szCs w:val="21"/>
                <w:lang w:eastAsia="en-US"/>
              </w:rPr>
            </w:pPr>
            <w:r>
              <w:rPr>
                <w:rFonts w:ascii="Times New Roman" w:eastAsia="Times New Roman" w:hAnsi="Times New Roman" w:cs="Times New Roman"/>
                <w:color w:val="auto"/>
                <w:w w:val="100"/>
                <w:sz w:val="21"/>
                <w:szCs w:val="21"/>
                <w:lang w:eastAsia="en-US"/>
              </w:rPr>
              <w:t xml:space="preserve">        μέσου σταθμικού 20 ευρώ/μονάδα</w:t>
            </w:r>
          </w:p>
        </w:tc>
      </w:tr>
      <w:tr w:rsidR="00E54474" w:rsidTr="00E54474">
        <w:trPr>
          <w:trHeight w:val="70"/>
        </w:trPr>
        <w:tc>
          <w:tcPr>
            <w:tcW w:w="326" w:type="dxa"/>
            <w:vMerge/>
            <w:tcBorders>
              <w:top w:val="single" w:sz="6" w:space="0" w:color="000000"/>
              <w:left w:val="single" w:sz="6" w:space="0" w:color="000000"/>
              <w:bottom w:val="single" w:sz="6" w:space="0" w:color="000000"/>
              <w:right w:val="single" w:sz="6" w:space="0" w:color="000000"/>
            </w:tcBorders>
            <w:vAlign w:val="center"/>
            <w:hideMark/>
          </w:tcPr>
          <w:p w:rsidR="00E54474" w:rsidRDefault="00E54474">
            <w:pPr>
              <w:spacing w:after="0" w:line="240" w:lineRule="auto"/>
              <w:jc w:val="left"/>
              <w:rPr>
                <w:rFonts w:ascii="PFTransit Light" w:eastAsia="Calibri" w:hAnsi="PFTransit Light"/>
                <w:lang w:eastAsia="en-US"/>
              </w:rPr>
            </w:pPr>
          </w:p>
        </w:tc>
        <w:tc>
          <w:tcPr>
            <w:tcW w:w="2658" w:type="dxa"/>
            <w:tcBorders>
              <w:top w:val="single" w:sz="4" w:space="0" w:color="000000"/>
              <w:left w:val="single" w:sz="6" w:space="0" w:color="000000"/>
              <w:bottom w:val="single" w:sz="6" w:space="0" w:color="000000"/>
              <w:right w:val="single" w:sz="6" w:space="0" w:color="000000"/>
            </w:tcBorders>
            <w:tcMar>
              <w:top w:w="62" w:type="dxa"/>
              <w:left w:w="62" w:type="dxa"/>
              <w:bottom w:w="62" w:type="dxa"/>
              <w:right w:w="62" w:type="dxa"/>
            </w:tcMar>
            <w:hideMark/>
          </w:tcPr>
          <w:p w:rsidR="00E54474" w:rsidRDefault="00E54474">
            <w:pPr>
              <w:pStyle w:val="pinakaskeimeno"/>
              <w:ind w:left="-851"/>
              <w:jc w:val="right"/>
              <w:rPr>
                <w:rFonts w:ascii="Times New Roman" w:eastAsia="Times New Roman" w:hAnsi="Times New Roman" w:cs="Times New Roman"/>
                <w:color w:val="auto"/>
                <w:w w:val="100"/>
                <w:sz w:val="21"/>
                <w:szCs w:val="21"/>
                <w:lang w:eastAsia="en-US"/>
              </w:rPr>
            </w:pPr>
            <w:r>
              <w:rPr>
                <w:rFonts w:ascii="Times New Roman" w:eastAsia="Times New Roman" w:hAnsi="Times New Roman" w:cs="Times New Roman"/>
                <w:color w:val="auto"/>
                <w:w w:val="100"/>
                <w:sz w:val="21"/>
                <w:szCs w:val="21"/>
                <w:lang w:eastAsia="en-US"/>
              </w:rPr>
              <w:t>100 + 1.400</w:t>
            </w: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E54474" w:rsidRDefault="00E54474">
            <w:pPr>
              <w:spacing w:after="0" w:line="240" w:lineRule="auto"/>
              <w:jc w:val="left"/>
              <w:rPr>
                <w:sz w:val="21"/>
                <w:szCs w:val="21"/>
                <w:lang w:eastAsia="en-US"/>
              </w:rPr>
            </w:pPr>
          </w:p>
        </w:tc>
        <w:tc>
          <w:tcPr>
            <w:tcW w:w="1640" w:type="dxa"/>
            <w:tcBorders>
              <w:top w:val="single" w:sz="4" w:space="0" w:color="000000"/>
              <w:left w:val="single" w:sz="6" w:space="0" w:color="000000"/>
              <w:bottom w:val="single" w:sz="6" w:space="0" w:color="000000"/>
              <w:right w:val="single" w:sz="6" w:space="0" w:color="000000"/>
            </w:tcBorders>
            <w:tcMar>
              <w:top w:w="62" w:type="dxa"/>
              <w:left w:w="62" w:type="dxa"/>
              <w:bottom w:w="62" w:type="dxa"/>
              <w:right w:w="62" w:type="dxa"/>
            </w:tcMar>
            <w:hideMark/>
          </w:tcPr>
          <w:p w:rsidR="00E54474" w:rsidRDefault="00E54474">
            <w:pPr>
              <w:pStyle w:val="pinakaskeimeno"/>
              <w:ind w:left="-851"/>
              <w:jc w:val="right"/>
              <w:rPr>
                <w:rFonts w:ascii="Times New Roman" w:eastAsia="Times New Roman" w:hAnsi="Times New Roman" w:cs="Times New Roman"/>
                <w:color w:val="auto"/>
                <w:w w:val="100"/>
                <w:sz w:val="21"/>
                <w:szCs w:val="21"/>
                <w:lang w:eastAsia="en-US"/>
              </w:rPr>
            </w:pPr>
            <w:r>
              <w:rPr>
                <w:rFonts w:ascii="Times New Roman" w:eastAsia="Times New Roman" w:hAnsi="Times New Roman" w:cs="Times New Roman"/>
                <w:color w:val="auto"/>
                <w:w w:val="100"/>
                <w:sz w:val="21"/>
                <w:szCs w:val="21"/>
                <w:lang w:eastAsia="en-US"/>
              </w:rPr>
              <w:t>1.500</w:t>
            </w:r>
          </w:p>
        </w:tc>
        <w:tc>
          <w:tcPr>
            <w:tcW w:w="203" w:type="dxa"/>
            <w:vMerge/>
            <w:tcBorders>
              <w:top w:val="single" w:sz="6" w:space="0" w:color="000000"/>
              <w:left w:val="single" w:sz="6" w:space="0" w:color="000000"/>
              <w:bottom w:val="single" w:sz="6" w:space="0" w:color="000000"/>
              <w:right w:val="single" w:sz="6" w:space="0" w:color="000000"/>
            </w:tcBorders>
            <w:vAlign w:val="center"/>
            <w:hideMark/>
          </w:tcPr>
          <w:p w:rsidR="00E54474" w:rsidRDefault="00E54474">
            <w:pPr>
              <w:spacing w:after="0" w:line="240" w:lineRule="auto"/>
              <w:jc w:val="left"/>
              <w:rPr>
                <w:rFonts w:ascii="UB-Helvetica" w:eastAsia="Calibri" w:hAnsi="UB-Helvetica" w:cs="UB-Helvetica"/>
                <w:color w:val="000000"/>
                <w:w w:val="95"/>
                <w:sz w:val="19"/>
                <w:szCs w:val="19"/>
                <w:lang w:eastAsia="en-US"/>
              </w:rPr>
            </w:pPr>
          </w:p>
        </w:tc>
        <w:tc>
          <w:tcPr>
            <w:tcW w:w="3560" w:type="dxa"/>
            <w:vMerge/>
            <w:tcBorders>
              <w:top w:val="single" w:sz="6" w:space="0" w:color="000000"/>
              <w:left w:val="single" w:sz="6" w:space="0" w:color="000000"/>
              <w:bottom w:val="single" w:sz="6" w:space="0" w:color="000000"/>
              <w:right w:val="single" w:sz="6" w:space="0" w:color="000000"/>
            </w:tcBorders>
            <w:vAlign w:val="center"/>
            <w:hideMark/>
          </w:tcPr>
          <w:p w:rsidR="00E54474" w:rsidRDefault="00E54474">
            <w:pPr>
              <w:spacing w:after="0" w:line="240" w:lineRule="auto"/>
              <w:jc w:val="left"/>
              <w:rPr>
                <w:sz w:val="21"/>
                <w:szCs w:val="21"/>
                <w:lang w:eastAsia="en-US"/>
              </w:rPr>
            </w:pPr>
          </w:p>
        </w:tc>
      </w:tr>
    </w:tbl>
    <w:p w:rsidR="00E54474" w:rsidRDefault="00E54474" w:rsidP="00E54474">
      <w:pPr>
        <w:pStyle w:val="keimeno"/>
        <w:ind w:left="-851" w:firstLine="0"/>
        <w:rPr>
          <w:b/>
          <w:bCs/>
          <w:u w:val="thick" w:color="000000"/>
        </w:rPr>
      </w:pPr>
    </w:p>
    <w:p w:rsidR="00E54474" w:rsidRDefault="00E54474" w:rsidP="00E54474">
      <w:pPr>
        <w:pStyle w:val="keimeno"/>
        <w:ind w:left="-851" w:firstLine="0"/>
        <w:rPr>
          <w:rFonts w:ascii="Times New Roman" w:eastAsia="Times New Roman" w:hAnsi="Times New Roman" w:cs="Times New Roman"/>
          <w:color w:val="auto"/>
          <w:sz w:val="21"/>
          <w:szCs w:val="21"/>
        </w:rPr>
      </w:pPr>
      <w:r>
        <w:rPr>
          <w:rFonts w:ascii="Times New Roman" w:eastAsia="Times New Roman" w:hAnsi="Times New Roman" w:cs="Times New Roman"/>
          <w:color w:val="auto"/>
          <w:sz w:val="21"/>
          <w:szCs w:val="21"/>
        </w:rPr>
        <w:t>Άρα σε τιμές κτήσεως:</w:t>
      </w:r>
    </w:p>
    <w:p w:rsidR="00E54474" w:rsidRDefault="00E54474" w:rsidP="00E54474">
      <w:pPr>
        <w:pStyle w:val="keimeno"/>
        <w:ind w:left="-851" w:firstLine="0"/>
        <w:rPr>
          <w:rFonts w:ascii="Times New Roman" w:eastAsia="Times New Roman" w:hAnsi="Times New Roman" w:cs="Times New Roman"/>
          <w:color w:val="auto"/>
          <w:sz w:val="21"/>
          <w:szCs w:val="21"/>
        </w:rPr>
      </w:pPr>
      <w:r>
        <w:rPr>
          <w:rFonts w:ascii="Times New Roman" w:eastAsia="Times New Roman" w:hAnsi="Times New Roman" w:cs="Times New Roman"/>
          <w:color w:val="auto"/>
          <w:sz w:val="21"/>
          <w:szCs w:val="21"/>
        </w:rPr>
        <w:t>α)</w:t>
      </w:r>
      <w:r>
        <w:tab/>
      </w:r>
      <w:r>
        <w:rPr>
          <w:rFonts w:ascii="Times New Roman" w:eastAsia="Times New Roman" w:hAnsi="Times New Roman" w:cs="Times New Roman"/>
          <w:color w:val="auto"/>
          <w:sz w:val="21"/>
          <w:szCs w:val="21"/>
        </w:rPr>
        <w:t>Η αξία των αποθεμάτων είναι μονάδες:</w:t>
      </w:r>
      <w:r>
        <w:rPr>
          <w:rFonts w:ascii="Times New Roman" w:eastAsia="Times New Roman" w:hAnsi="Times New Roman" w:cs="Times New Roman"/>
          <w:color w:val="auto"/>
          <w:sz w:val="21"/>
          <w:szCs w:val="21"/>
        </w:rPr>
        <w:tab/>
        <w:t xml:space="preserve">   400</w:t>
      </w:r>
      <w:r>
        <w:rPr>
          <w:rFonts w:ascii="Times New Roman" w:eastAsia="Times New Roman" w:hAnsi="Times New Roman" w:cs="Times New Roman"/>
          <w:color w:val="auto"/>
          <w:sz w:val="21"/>
          <w:szCs w:val="21"/>
        </w:rPr>
        <w:tab/>
        <w:t>x 20 =   8.000</w:t>
      </w:r>
    </w:p>
    <w:p w:rsidR="00E54474" w:rsidRDefault="00E54474" w:rsidP="00E54474">
      <w:pPr>
        <w:pStyle w:val="keimeno"/>
        <w:ind w:left="-851" w:firstLine="0"/>
        <w:rPr>
          <w:rFonts w:ascii="Times New Roman" w:hAnsi="Times New Roman" w:cs="Times New Roman"/>
          <w:sz w:val="21"/>
          <w:szCs w:val="21"/>
        </w:rPr>
      </w:pPr>
      <w:r>
        <w:rPr>
          <w:rFonts w:ascii="Times New Roman" w:eastAsia="Times New Roman" w:hAnsi="Times New Roman" w:cs="Times New Roman"/>
          <w:color w:val="auto"/>
          <w:sz w:val="21"/>
          <w:szCs w:val="21"/>
        </w:rPr>
        <w:t>β)</w:t>
      </w:r>
      <w:r>
        <w:rPr>
          <w:rFonts w:ascii="Times New Roman" w:eastAsia="Times New Roman" w:hAnsi="Times New Roman" w:cs="Times New Roman"/>
          <w:color w:val="auto"/>
          <w:sz w:val="21"/>
          <w:szCs w:val="21"/>
        </w:rPr>
        <w:tab/>
        <w:t>Η αξία των πωληθέντων είναι μονάδες:</w:t>
      </w:r>
      <w:r>
        <w:rPr>
          <w:rFonts w:ascii="Times New Roman" w:hAnsi="Times New Roman" w:cs="Times New Roman"/>
          <w:sz w:val="21"/>
          <w:szCs w:val="21"/>
        </w:rPr>
        <w:tab/>
      </w:r>
      <w:r>
        <w:rPr>
          <w:rStyle w:val="monigrammi"/>
          <w:rFonts w:ascii="Times New Roman" w:hAnsi="Times New Roman" w:cs="Times New Roman"/>
          <w:sz w:val="21"/>
          <w:szCs w:val="21"/>
          <w:u w:val="single"/>
        </w:rPr>
        <w:t>1.100</w:t>
      </w:r>
      <w:r>
        <w:rPr>
          <w:rFonts w:ascii="Times New Roman" w:hAnsi="Times New Roman" w:cs="Times New Roman"/>
          <w:sz w:val="21"/>
          <w:szCs w:val="21"/>
        </w:rPr>
        <w:tab/>
        <w:t xml:space="preserve">x 20 = </w:t>
      </w:r>
      <w:r>
        <w:rPr>
          <w:rStyle w:val="monigrammi"/>
          <w:rFonts w:ascii="Times New Roman" w:hAnsi="Times New Roman" w:cs="Times New Roman"/>
          <w:sz w:val="21"/>
          <w:szCs w:val="21"/>
          <w:u w:val="single"/>
        </w:rPr>
        <w:t>22.000</w:t>
      </w:r>
    </w:p>
    <w:p w:rsidR="00E54474" w:rsidRDefault="00E54474" w:rsidP="00E54474">
      <w:pPr>
        <w:pStyle w:val="keimeno"/>
        <w:tabs>
          <w:tab w:val="right" w:pos="5060"/>
          <w:tab w:val="right" w:pos="6660"/>
        </w:tabs>
        <w:ind w:left="-851" w:firstLine="0"/>
        <w:rPr>
          <w:rFonts w:ascii="Times New Roman" w:hAnsi="Times New Roman" w:cs="Times New Roman"/>
          <w:sz w:val="21"/>
          <w:szCs w:val="21"/>
        </w:rPr>
      </w:pPr>
      <w:r>
        <w:rPr>
          <w:rFonts w:ascii="Times New Roman" w:hAnsi="Times New Roman" w:cs="Times New Roman"/>
          <w:sz w:val="21"/>
          <w:szCs w:val="21"/>
        </w:rPr>
        <w:t xml:space="preserve">                                                                                    </w:t>
      </w:r>
      <w:r>
        <w:rPr>
          <w:rStyle w:val="dipligrammi"/>
          <w:rFonts w:ascii="Times New Roman" w:hAnsi="Times New Roman" w:cs="Times New Roman"/>
          <w:sz w:val="21"/>
          <w:szCs w:val="21"/>
        </w:rPr>
        <w:t>1.500</w:t>
      </w:r>
      <w:r>
        <w:rPr>
          <w:rFonts w:ascii="Times New Roman" w:hAnsi="Times New Roman" w:cs="Times New Roman"/>
          <w:sz w:val="21"/>
          <w:szCs w:val="21"/>
        </w:rPr>
        <w:tab/>
        <w:t xml:space="preserve">               </w:t>
      </w:r>
      <w:r>
        <w:rPr>
          <w:rStyle w:val="dipligrammi"/>
          <w:rFonts w:ascii="Times New Roman" w:hAnsi="Times New Roman" w:cs="Times New Roman"/>
          <w:sz w:val="21"/>
          <w:szCs w:val="21"/>
        </w:rPr>
        <w:t>30.000</w:t>
      </w:r>
    </w:p>
    <w:p w:rsidR="00E54474" w:rsidRDefault="00E54474" w:rsidP="00E54474">
      <w:pPr>
        <w:pStyle w:val="esoxes"/>
        <w:ind w:left="-851" w:firstLine="0"/>
        <w:rPr>
          <w:rFonts w:ascii="Times New Roman" w:eastAsia="Times New Roman" w:hAnsi="Times New Roman" w:cs="Times New Roman"/>
          <w:color w:val="auto"/>
          <w:sz w:val="21"/>
          <w:szCs w:val="21"/>
        </w:rPr>
      </w:pPr>
    </w:p>
    <w:p w:rsidR="00297368" w:rsidRDefault="00297368" w:rsidP="00E54474">
      <w:pPr>
        <w:pStyle w:val="esoxes"/>
        <w:ind w:left="-851" w:firstLine="0"/>
        <w:rPr>
          <w:rFonts w:ascii="Times New Roman" w:eastAsia="Times New Roman" w:hAnsi="Times New Roman" w:cs="Times New Roman"/>
          <w:color w:val="auto"/>
          <w:sz w:val="21"/>
          <w:szCs w:val="21"/>
        </w:rPr>
      </w:pPr>
    </w:p>
    <w:p w:rsidR="00297368" w:rsidRDefault="00297368" w:rsidP="00E54474">
      <w:pPr>
        <w:pStyle w:val="esoxes"/>
        <w:ind w:left="-851" w:firstLine="0"/>
        <w:rPr>
          <w:rFonts w:ascii="Times New Roman" w:eastAsia="Times New Roman" w:hAnsi="Times New Roman" w:cs="Times New Roman"/>
          <w:color w:val="auto"/>
          <w:sz w:val="21"/>
          <w:szCs w:val="21"/>
        </w:rPr>
      </w:pPr>
    </w:p>
    <w:p w:rsidR="00297368" w:rsidRDefault="00297368" w:rsidP="00E54474">
      <w:pPr>
        <w:pStyle w:val="esoxes"/>
        <w:ind w:left="-851" w:firstLine="0"/>
        <w:rPr>
          <w:rFonts w:ascii="Times New Roman" w:eastAsia="Times New Roman" w:hAnsi="Times New Roman" w:cs="Times New Roman"/>
          <w:color w:val="auto"/>
          <w:sz w:val="21"/>
          <w:szCs w:val="21"/>
        </w:rPr>
      </w:pPr>
    </w:p>
    <w:p w:rsidR="00297368" w:rsidRDefault="00297368" w:rsidP="00E54474">
      <w:pPr>
        <w:pStyle w:val="esoxes"/>
        <w:ind w:left="-851" w:firstLine="0"/>
        <w:rPr>
          <w:rFonts w:ascii="Times New Roman" w:eastAsia="Times New Roman" w:hAnsi="Times New Roman" w:cs="Times New Roman"/>
          <w:color w:val="auto"/>
          <w:sz w:val="21"/>
          <w:szCs w:val="21"/>
        </w:rPr>
      </w:pPr>
    </w:p>
    <w:p w:rsidR="00297368" w:rsidRDefault="00297368" w:rsidP="00E54474">
      <w:pPr>
        <w:pStyle w:val="esoxes"/>
        <w:ind w:left="-851" w:firstLine="0"/>
        <w:rPr>
          <w:rFonts w:ascii="Times New Roman" w:eastAsia="Times New Roman" w:hAnsi="Times New Roman" w:cs="Times New Roman"/>
          <w:color w:val="auto"/>
          <w:sz w:val="21"/>
          <w:szCs w:val="21"/>
        </w:rPr>
      </w:pPr>
    </w:p>
    <w:p w:rsidR="00297368" w:rsidRDefault="00297368" w:rsidP="00E54474">
      <w:pPr>
        <w:pStyle w:val="esoxes"/>
        <w:ind w:left="-851" w:firstLine="0"/>
        <w:rPr>
          <w:rFonts w:ascii="Times New Roman" w:eastAsia="Times New Roman" w:hAnsi="Times New Roman" w:cs="Times New Roman"/>
          <w:color w:val="auto"/>
          <w:sz w:val="21"/>
          <w:szCs w:val="21"/>
        </w:rPr>
      </w:pPr>
    </w:p>
    <w:p w:rsidR="00297368" w:rsidRDefault="00297368" w:rsidP="00E54474">
      <w:pPr>
        <w:pStyle w:val="esoxes"/>
        <w:ind w:left="-851" w:firstLine="0"/>
        <w:rPr>
          <w:rFonts w:ascii="Times New Roman" w:eastAsia="Times New Roman" w:hAnsi="Times New Roman" w:cs="Times New Roman"/>
          <w:color w:val="auto"/>
          <w:sz w:val="21"/>
          <w:szCs w:val="21"/>
        </w:rPr>
      </w:pPr>
    </w:p>
    <w:p w:rsidR="00E54474" w:rsidRDefault="00E54474" w:rsidP="00E54474">
      <w:pPr>
        <w:pStyle w:val="esoxes"/>
        <w:ind w:left="-851" w:firstLine="0"/>
        <w:rPr>
          <w:rFonts w:ascii="Times New Roman" w:eastAsia="Times New Roman" w:hAnsi="Times New Roman" w:cs="Times New Roman"/>
          <w:color w:val="auto"/>
          <w:sz w:val="21"/>
          <w:szCs w:val="21"/>
        </w:rPr>
      </w:pPr>
      <w:r>
        <w:rPr>
          <w:rFonts w:ascii="Times New Roman" w:eastAsia="Times New Roman" w:hAnsi="Times New Roman" w:cs="Times New Roman"/>
          <w:color w:val="auto"/>
          <w:sz w:val="21"/>
          <w:szCs w:val="21"/>
        </w:rPr>
        <w:t xml:space="preserve">2) Προσδιορισμός του κόστους κτήσεως με τη μέθοδο </w:t>
      </w:r>
      <w:r>
        <w:rPr>
          <w:rFonts w:ascii="Times New Roman" w:eastAsia="Times New Roman" w:hAnsi="Times New Roman" w:cs="Times New Roman"/>
          <w:color w:val="auto"/>
          <w:sz w:val="21"/>
          <w:szCs w:val="21"/>
          <w:lang w:val="en-US"/>
        </w:rPr>
        <w:t>F</w:t>
      </w:r>
      <w:r>
        <w:rPr>
          <w:rFonts w:ascii="Times New Roman" w:eastAsia="Times New Roman" w:hAnsi="Times New Roman" w:cs="Times New Roman"/>
          <w:color w:val="auto"/>
          <w:sz w:val="21"/>
          <w:szCs w:val="21"/>
        </w:rPr>
        <w:t>.</w:t>
      </w:r>
      <w:r>
        <w:rPr>
          <w:rFonts w:ascii="Times New Roman" w:eastAsia="Times New Roman" w:hAnsi="Times New Roman" w:cs="Times New Roman"/>
          <w:color w:val="auto"/>
          <w:sz w:val="21"/>
          <w:szCs w:val="21"/>
          <w:lang w:val="en-US"/>
        </w:rPr>
        <w:t>I</w:t>
      </w:r>
      <w:r>
        <w:rPr>
          <w:rFonts w:ascii="Times New Roman" w:eastAsia="Times New Roman" w:hAnsi="Times New Roman" w:cs="Times New Roman"/>
          <w:color w:val="auto"/>
          <w:sz w:val="21"/>
          <w:szCs w:val="21"/>
        </w:rPr>
        <w:t>.</w:t>
      </w:r>
      <w:r>
        <w:rPr>
          <w:rFonts w:ascii="Times New Roman" w:eastAsia="Times New Roman" w:hAnsi="Times New Roman" w:cs="Times New Roman"/>
          <w:color w:val="auto"/>
          <w:sz w:val="21"/>
          <w:szCs w:val="21"/>
          <w:lang w:val="en-US"/>
        </w:rPr>
        <w:t>F</w:t>
      </w:r>
      <w:r>
        <w:rPr>
          <w:rFonts w:ascii="Times New Roman" w:eastAsia="Times New Roman" w:hAnsi="Times New Roman" w:cs="Times New Roman"/>
          <w:color w:val="auto"/>
          <w:sz w:val="21"/>
          <w:szCs w:val="21"/>
        </w:rPr>
        <w:t>.</w:t>
      </w:r>
      <w:r>
        <w:rPr>
          <w:rFonts w:ascii="Times New Roman" w:eastAsia="Times New Roman" w:hAnsi="Times New Roman" w:cs="Times New Roman"/>
          <w:color w:val="auto"/>
          <w:sz w:val="21"/>
          <w:szCs w:val="21"/>
          <w:lang w:val="en-US"/>
        </w:rPr>
        <w:t>O</w:t>
      </w:r>
    </w:p>
    <w:p w:rsidR="00E54474" w:rsidRDefault="00E54474" w:rsidP="00E54474">
      <w:pPr>
        <w:pStyle w:val="esoxes"/>
        <w:ind w:left="-851" w:firstLine="0"/>
        <w:rPr>
          <w:rFonts w:ascii="Times New Roman" w:eastAsia="Times New Roman" w:hAnsi="Times New Roman" w:cs="Times New Roman"/>
          <w:color w:val="auto"/>
          <w:sz w:val="21"/>
          <w:szCs w:val="21"/>
        </w:rPr>
      </w:pPr>
    </w:p>
    <w:tbl>
      <w:tblPr>
        <w:tblW w:w="0" w:type="auto"/>
        <w:tblInd w:w="-794" w:type="dxa"/>
        <w:tblLayout w:type="fixed"/>
        <w:tblCellMar>
          <w:left w:w="0" w:type="dxa"/>
          <w:right w:w="0" w:type="dxa"/>
        </w:tblCellMar>
        <w:tblLook w:val="04A0" w:firstRow="1" w:lastRow="0" w:firstColumn="1" w:lastColumn="0" w:noHBand="0" w:noVBand="1"/>
      </w:tblPr>
      <w:tblGrid>
        <w:gridCol w:w="425"/>
        <w:gridCol w:w="362"/>
        <w:gridCol w:w="1920"/>
        <w:gridCol w:w="741"/>
        <w:gridCol w:w="579"/>
        <w:gridCol w:w="807"/>
        <w:gridCol w:w="773"/>
        <w:gridCol w:w="629"/>
        <w:gridCol w:w="789"/>
        <w:gridCol w:w="723"/>
        <w:gridCol w:w="581"/>
        <w:gridCol w:w="872"/>
      </w:tblGrid>
      <w:tr w:rsidR="00E54474" w:rsidTr="00E54474">
        <w:trPr>
          <w:trHeight w:hRule="exact" w:val="472"/>
        </w:trPr>
        <w:tc>
          <w:tcPr>
            <w:tcW w:w="787" w:type="dxa"/>
            <w:gridSpan w:val="2"/>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b/>
                <w:bCs/>
                <w:w w:val="90"/>
                <w:sz w:val="21"/>
                <w:szCs w:val="21"/>
                <w:lang w:eastAsia="en-US"/>
              </w:rPr>
              <w:t>ΗΜΕΡ.</w:t>
            </w:r>
          </w:p>
        </w:tc>
        <w:tc>
          <w:tcPr>
            <w:tcW w:w="1920"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jc w:val="center"/>
              <w:rPr>
                <w:rFonts w:ascii="Times New Roman" w:hAnsi="Times New Roman" w:cs="Times New Roman"/>
                <w:b/>
                <w:bCs/>
                <w:w w:val="90"/>
                <w:sz w:val="21"/>
                <w:szCs w:val="21"/>
                <w:lang w:eastAsia="en-US"/>
              </w:rPr>
            </w:pPr>
            <w:r>
              <w:rPr>
                <w:rFonts w:ascii="Times New Roman" w:hAnsi="Times New Roman" w:cs="Times New Roman"/>
                <w:b/>
                <w:bCs/>
                <w:w w:val="90"/>
                <w:sz w:val="21"/>
                <w:szCs w:val="21"/>
                <w:lang w:eastAsia="en-US"/>
              </w:rPr>
              <w:t>ΑΓΟΡΕΣ</w:t>
            </w:r>
          </w:p>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b/>
                <w:bCs/>
                <w:w w:val="90"/>
                <w:sz w:val="21"/>
                <w:szCs w:val="21"/>
                <w:lang w:eastAsia="en-US"/>
              </w:rPr>
              <w:t>ΠΩΛΗΣΕΙΣ</w:t>
            </w:r>
          </w:p>
        </w:tc>
        <w:tc>
          <w:tcPr>
            <w:tcW w:w="2127" w:type="dxa"/>
            <w:gridSpan w:val="3"/>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b/>
                <w:bCs/>
                <w:w w:val="90"/>
                <w:sz w:val="21"/>
                <w:szCs w:val="21"/>
                <w:lang w:eastAsia="en-US"/>
              </w:rPr>
              <w:t>ΕΙΣΑΓΩΓΗ</w:t>
            </w:r>
          </w:p>
        </w:tc>
        <w:tc>
          <w:tcPr>
            <w:tcW w:w="2191" w:type="dxa"/>
            <w:gridSpan w:val="3"/>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b/>
                <w:bCs/>
                <w:w w:val="90"/>
                <w:sz w:val="21"/>
                <w:szCs w:val="21"/>
                <w:lang w:eastAsia="en-US"/>
              </w:rPr>
              <w:t>ΕΞΑΓΩΓΗ</w:t>
            </w:r>
          </w:p>
        </w:tc>
        <w:tc>
          <w:tcPr>
            <w:tcW w:w="2176" w:type="dxa"/>
            <w:gridSpan w:val="3"/>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b/>
                <w:bCs/>
                <w:w w:val="90"/>
                <w:sz w:val="21"/>
                <w:szCs w:val="21"/>
                <w:lang w:eastAsia="en-US"/>
              </w:rPr>
              <w:t>ΥΠΟΛΟΙΠΟ</w:t>
            </w:r>
          </w:p>
        </w:tc>
      </w:tr>
      <w:tr w:rsidR="00E54474" w:rsidTr="00E54474">
        <w:trPr>
          <w:trHeight w:hRule="exact" w:val="388"/>
        </w:trPr>
        <w:tc>
          <w:tcPr>
            <w:tcW w:w="1149" w:type="dxa"/>
            <w:gridSpan w:val="2"/>
            <w:vMerge/>
            <w:tcBorders>
              <w:top w:val="single" w:sz="4" w:space="0" w:color="000000"/>
              <w:left w:val="single" w:sz="4" w:space="0" w:color="000000"/>
              <w:bottom w:val="single" w:sz="4" w:space="0" w:color="000000"/>
              <w:right w:val="single" w:sz="4" w:space="0" w:color="000000"/>
            </w:tcBorders>
            <w:vAlign w:val="center"/>
            <w:hideMark/>
          </w:tcPr>
          <w:p w:rsidR="00E54474" w:rsidRDefault="00E54474">
            <w:pPr>
              <w:spacing w:after="0" w:line="240" w:lineRule="auto"/>
              <w:jc w:val="left"/>
              <w:rPr>
                <w:rFonts w:eastAsia="Calibri"/>
                <w:color w:val="000000"/>
                <w:w w:val="95"/>
                <w:sz w:val="21"/>
                <w:szCs w:val="21"/>
                <w:lang w:eastAsia="en-US"/>
              </w:rPr>
            </w:pPr>
          </w:p>
        </w:tc>
        <w:tc>
          <w:tcPr>
            <w:tcW w:w="1920" w:type="dxa"/>
            <w:vMerge/>
            <w:tcBorders>
              <w:top w:val="single" w:sz="4" w:space="0" w:color="000000"/>
              <w:left w:val="single" w:sz="4" w:space="0" w:color="000000"/>
              <w:bottom w:val="single" w:sz="4" w:space="0" w:color="000000"/>
              <w:right w:val="single" w:sz="4" w:space="0" w:color="000000"/>
            </w:tcBorders>
            <w:vAlign w:val="center"/>
            <w:hideMark/>
          </w:tcPr>
          <w:p w:rsidR="00E54474" w:rsidRDefault="00E54474">
            <w:pPr>
              <w:spacing w:after="0" w:line="240" w:lineRule="auto"/>
              <w:jc w:val="left"/>
              <w:rPr>
                <w:rFonts w:eastAsia="Calibri"/>
                <w:color w:val="000000"/>
                <w:w w:val="95"/>
                <w:sz w:val="21"/>
                <w:szCs w:val="21"/>
                <w:lang w:eastAsia="en-US"/>
              </w:rPr>
            </w:pPr>
          </w:p>
        </w:tc>
        <w:tc>
          <w:tcPr>
            <w:tcW w:w="74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b/>
                <w:bCs/>
                <w:w w:val="90"/>
                <w:sz w:val="21"/>
                <w:szCs w:val="21"/>
                <w:lang w:eastAsia="en-US"/>
              </w:rPr>
              <w:t>ΜΟΝ.</w:t>
            </w:r>
          </w:p>
        </w:tc>
        <w:tc>
          <w:tcPr>
            <w:tcW w:w="57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b/>
                <w:bCs/>
                <w:w w:val="90"/>
                <w:sz w:val="21"/>
                <w:szCs w:val="21"/>
                <w:lang w:eastAsia="en-US"/>
              </w:rPr>
              <w:t>Τ.Μ.</w:t>
            </w:r>
          </w:p>
        </w:tc>
        <w:tc>
          <w:tcPr>
            <w:tcW w:w="8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b/>
                <w:bCs/>
                <w:w w:val="90"/>
                <w:sz w:val="21"/>
                <w:szCs w:val="21"/>
                <w:lang w:eastAsia="en-US"/>
              </w:rPr>
              <w:t>ΑΞΙΑ</w:t>
            </w:r>
          </w:p>
        </w:tc>
        <w:tc>
          <w:tcPr>
            <w:tcW w:w="77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b/>
                <w:bCs/>
                <w:w w:val="90"/>
                <w:sz w:val="21"/>
                <w:szCs w:val="21"/>
                <w:lang w:eastAsia="en-US"/>
              </w:rPr>
              <w:t>ΜΟΝ.</w:t>
            </w:r>
          </w:p>
        </w:tc>
        <w:tc>
          <w:tcPr>
            <w:tcW w:w="62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b/>
                <w:bCs/>
                <w:w w:val="90"/>
                <w:sz w:val="21"/>
                <w:szCs w:val="21"/>
                <w:lang w:eastAsia="en-US"/>
              </w:rPr>
              <w:t>Τ.Μ.</w:t>
            </w:r>
          </w:p>
        </w:tc>
        <w:tc>
          <w:tcPr>
            <w:tcW w:w="78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b/>
                <w:bCs/>
                <w:w w:val="90"/>
                <w:sz w:val="21"/>
                <w:szCs w:val="21"/>
                <w:lang w:eastAsia="en-US"/>
              </w:rPr>
              <w:t>ΑΞΙΑ</w:t>
            </w:r>
          </w:p>
        </w:tc>
        <w:tc>
          <w:tcPr>
            <w:tcW w:w="7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b/>
                <w:bCs/>
                <w:w w:val="90"/>
                <w:sz w:val="21"/>
                <w:szCs w:val="21"/>
                <w:lang w:eastAsia="en-US"/>
              </w:rPr>
              <w:t>ΜΟΝ.</w:t>
            </w:r>
          </w:p>
        </w:tc>
        <w:tc>
          <w:tcPr>
            <w:tcW w:w="58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b/>
                <w:bCs/>
                <w:w w:val="90"/>
                <w:sz w:val="21"/>
                <w:szCs w:val="21"/>
                <w:lang w:eastAsia="en-US"/>
              </w:rPr>
              <w:t>Τ.Μ.</w:t>
            </w:r>
          </w:p>
        </w:tc>
        <w:tc>
          <w:tcPr>
            <w:tcW w:w="87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b/>
                <w:bCs/>
                <w:w w:val="90"/>
                <w:sz w:val="21"/>
                <w:szCs w:val="21"/>
                <w:lang w:eastAsia="en-US"/>
              </w:rPr>
              <w:t>ΑΞΙΑ</w:t>
            </w:r>
          </w:p>
        </w:tc>
      </w:tr>
      <w:tr w:rsidR="00E54474" w:rsidTr="00E54474">
        <w:trPr>
          <w:trHeight w:hRule="exact" w:val="933"/>
        </w:trPr>
        <w:tc>
          <w:tcPr>
            <w:tcW w:w="42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w w:val="90"/>
                <w:sz w:val="21"/>
                <w:szCs w:val="21"/>
                <w:lang w:eastAsia="en-US"/>
              </w:rPr>
              <w:t>Ιαν.</w:t>
            </w:r>
          </w:p>
        </w:tc>
        <w:tc>
          <w:tcPr>
            <w:tcW w:w="36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w w:val="90"/>
                <w:sz w:val="21"/>
                <w:szCs w:val="21"/>
                <w:lang w:eastAsia="en-US"/>
              </w:rPr>
              <w:t>1 12</w:t>
            </w:r>
          </w:p>
        </w:tc>
        <w:tc>
          <w:tcPr>
            <w:tcW w:w="192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E54474" w:rsidRDefault="00E54474">
            <w:pPr>
              <w:pStyle w:val="pinakaskeimeno"/>
              <w:rPr>
                <w:rFonts w:ascii="Times New Roman" w:hAnsi="Times New Roman" w:cs="Times New Roman"/>
                <w:w w:val="90"/>
                <w:sz w:val="21"/>
                <w:szCs w:val="21"/>
                <w:lang w:eastAsia="en-US"/>
              </w:rPr>
            </w:pPr>
            <w:r>
              <w:rPr>
                <w:rFonts w:ascii="Times New Roman" w:hAnsi="Times New Roman" w:cs="Times New Roman"/>
                <w:w w:val="90"/>
                <w:sz w:val="21"/>
                <w:szCs w:val="21"/>
                <w:lang w:eastAsia="en-US"/>
              </w:rPr>
              <w:t>Απόθεμα έναρξης</w:t>
            </w:r>
          </w:p>
          <w:p w:rsidR="00E54474" w:rsidRDefault="00E54474">
            <w:pPr>
              <w:pStyle w:val="pinakaskeimeno"/>
              <w:rPr>
                <w:rFonts w:ascii="Times New Roman" w:hAnsi="Times New Roman" w:cs="Times New Roman"/>
                <w:sz w:val="21"/>
                <w:szCs w:val="21"/>
                <w:lang w:eastAsia="en-US"/>
              </w:rPr>
            </w:pPr>
            <w:r>
              <w:rPr>
                <w:rFonts w:ascii="Times New Roman" w:hAnsi="Times New Roman" w:cs="Times New Roman"/>
                <w:w w:val="90"/>
                <w:sz w:val="21"/>
                <w:szCs w:val="21"/>
                <w:lang w:eastAsia="en-US"/>
              </w:rPr>
              <w:t xml:space="preserve"> Αγορά</w:t>
            </w:r>
          </w:p>
        </w:tc>
        <w:tc>
          <w:tcPr>
            <w:tcW w:w="74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E54474" w:rsidRDefault="00E54474">
            <w:pPr>
              <w:pStyle w:val="pinakaskeimeno"/>
              <w:jc w:val="right"/>
              <w:rPr>
                <w:rFonts w:ascii="Times New Roman" w:hAnsi="Times New Roman" w:cs="Times New Roman"/>
                <w:w w:val="90"/>
                <w:sz w:val="21"/>
                <w:szCs w:val="21"/>
                <w:lang w:val="en-US" w:eastAsia="en-US"/>
              </w:rPr>
            </w:pPr>
          </w:p>
          <w:p w:rsidR="00E54474" w:rsidRDefault="00E54474">
            <w:pPr>
              <w:pStyle w:val="pinakaskeimeno"/>
              <w:jc w:val="right"/>
              <w:rPr>
                <w:rFonts w:ascii="Times New Roman" w:hAnsi="Times New Roman" w:cs="Times New Roman"/>
                <w:sz w:val="21"/>
                <w:szCs w:val="21"/>
                <w:lang w:eastAsia="en-US"/>
              </w:rPr>
            </w:pPr>
            <w:r>
              <w:rPr>
                <w:rFonts w:ascii="Times New Roman" w:hAnsi="Times New Roman" w:cs="Times New Roman"/>
                <w:w w:val="90"/>
                <w:sz w:val="21"/>
                <w:szCs w:val="21"/>
                <w:lang w:eastAsia="en-US"/>
              </w:rPr>
              <w:t>500</w:t>
            </w:r>
          </w:p>
        </w:tc>
        <w:tc>
          <w:tcPr>
            <w:tcW w:w="57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E54474" w:rsidRDefault="00E54474">
            <w:pPr>
              <w:pStyle w:val="pinakaskeimeno"/>
              <w:jc w:val="right"/>
              <w:rPr>
                <w:rFonts w:ascii="Times New Roman" w:hAnsi="Times New Roman" w:cs="Times New Roman"/>
                <w:w w:val="90"/>
                <w:sz w:val="21"/>
                <w:szCs w:val="21"/>
                <w:lang w:val="en-US" w:eastAsia="en-US"/>
              </w:rPr>
            </w:pPr>
          </w:p>
          <w:p w:rsidR="00E54474" w:rsidRDefault="00E54474">
            <w:pPr>
              <w:pStyle w:val="pinakaskeimeno"/>
              <w:jc w:val="right"/>
              <w:rPr>
                <w:rFonts w:ascii="Times New Roman" w:hAnsi="Times New Roman" w:cs="Times New Roman"/>
                <w:sz w:val="21"/>
                <w:szCs w:val="21"/>
                <w:lang w:eastAsia="en-US"/>
              </w:rPr>
            </w:pPr>
            <w:r>
              <w:rPr>
                <w:rFonts w:ascii="Times New Roman" w:hAnsi="Times New Roman" w:cs="Times New Roman"/>
                <w:w w:val="90"/>
                <w:sz w:val="21"/>
                <w:szCs w:val="21"/>
                <w:lang w:eastAsia="en-US"/>
              </w:rPr>
              <w:t>18</w:t>
            </w:r>
          </w:p>
        </w:tc>
        <w:tc>
          <w:tcPr>
            <w:tcW w:w="8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E54474" w:rsidRDefault="00E54474">
            <w:pPr>
              <w:pStyle w:val="pinakaskeimeno"/>
              <w:jc w:val="right"/>
              <w:rPr>
                <w:rFonts w:ascii="Times New Roman" w:hAnsi="Times New Roman" w:cs="Times New Roman"/>
                <w:w w:val="90"/>
                <w:sz w:val="21"/>
                <w:szCs w:val="21"/>
                <w:lang w:val="en-US" w:eastAsia="en-US"/>
              </w:rPr>
            </w:pPr>
          </w:p>
          <w:p w:rsidR="00E54474" w:rsidRDefault="00E54474">
            <w:pPr>
              <w:pStyle w:val="pinakaskeimeno"/>
              <w:jc w:val="right"/>
              <w:rPr>
                <w:rFonts w:ascii="Times New Roman" w:hAnsi="Times New Roman" w:cs="Times New Roman"/>
                <w:sz w:val="21"/>
                <w:szCs w:val="21"/>
                <w:lang w:eastAsia="en-US"/>
              </w:rPr>
            </w:pPr>
            <w:r>
              <w:rPr>
                <w:rFonts w:ascii="Times New Roman" w:hAnsi="Times New Roman" w:cs="Times New Roman"/>
                <w:w w:val="90"/>
                <w:sz w:val="21"/>
                <w:szCs w:val="21"/>
                <w:lang w:eastAsia="en-US"/>
              </w:rPr>
              <w:t>9.000</w:t>
            </w:r>
          </w:p>
        </w:tc>
        <w:tc>
          <w:tcPr>
            <w:tcW w:w="77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E54474" w:rsidRDefault="00E54474">
            <w:pPr>
              <w:pStyle w:val="NoParagraphStyle"/>
              <w:spacing w:line="240" w:lineRule="auto"/>
              <w:jc w:val="right"/>
              <w:rPr>
                <w:rFonts w:ascii="Times New Roman" w:hAnsi="Times New Roman" w:cs="Times New Roman"/>
                <w:color w:val="auto"/>
                <w:sz w:val="21"/>
                <w:szCs w:val="21"/>
                <w:lang w:eastAsia="en-US"/>
              </w:rPr>
            </w:pPr>
          </w:p>
        </w:tc>
        <w:tc>
          <w:tcPr>
            <w:tcW w:w="62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E54474" w:rsidRDefault="00E54474">
            <w:pPr>
              <w:pStyle w:val="NoParagraphStyle"/>
              <w:spacing w:line="240" w:lineRule="auto"/>
              <w:jc w:val="right"/>
              <w:rPr>
                <w:rFonts w:ascii="Times New Roman" w:hAnsi="Times New Roman" w:cs="Times New Roman"/>
                <w:color w:val="auto"/>
                <w:sz w:val="21"/>
                <w:szCs w:val="21"/>
                <w:lang w:eastAsia="en-US"/>
              </w:rPr>
            </w:pPr>
          </w:p>
        </w:tc>
        <w:tc>
          <w:tcPr>
            <w:tcW w:w="78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E54474" w:rsidRDefault="00E54474">
            <w:pPr>
              <w:pStyle w:val="NoParagraphStyle"/>
              <w:spacing w:line="240" w:lineRule="auto"/>
              <w:jc w:val="right"/>
              <w:rPr>
                <w:rFonts w:ascii="Times New Roman" w:hAnsi="Times New Roman" w:cs="Times New Roman"/>
                <w:color w:val="auto"/>
                <w:sz w:val="21"/>
                <w:szCs w:val="21"/>
                <w:lang w:eastAsia="en-US"/>
              </w:rPr>
            </w:pPr>
          </w:p>
        </w:tc>
        <w:tc>
          <w:tcPr>
            <w:tcW w:w="7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E54474" w:rsidRDefault="00E54474">
            <w:pPr>
              <w:pStyle w:val="pinakaskeimeno"/>
              <w:jc w:val="right"/>
              <w:rPr>
                <w:rFonts w:ascii="Times New Roman" w:hAnsi="Times New Roman" w:cs="Times New Roman"/>
                <w:w w:val="90"/>
                <w:sz w:val="21"/>
                <w:szCs w:val="21"/>
                <w:lang w:eastAsia="en-US"/>
              </w:rPr>
            </w:pPr>
            <w:r>
              <w:rPr>
                <w:rFonts w:ascii="Times New Roman" w:hAnsi="Times New Roman" w:cs="Times New Roman"/>
                <w:b/>
                <w:bCs/>
                <w:w w:val="90"/>
                <w:sz w:val="21"/>
                <w:szCs w:val="21"/>
                <w:lang w:eastAsia="en-US"/>
              </w:rPr>
              <w:t>100</w:t>
            </w:r>
          </w:p>
          <w:p w:rsidR="00E54474" w:rsidRDefault="00E54474">
            <w:pPr>
              <w:pStyle w:val="pinakaskeimeno"/>
              <w:jc w:val="right"/>
              <w:rPr>
                <w:rFonts w:ascii="Times New Roman" w:hAnsi="Times New Roman" w:cs="Times New Roman"/>
                <w:w w:val="90"/>
                <w:sz w:val="21"/>
                <w:szCs w:val="21"/>
                <w:lang w:eastAsia="en-US"/>
              </w:rPr>
            </w:pPr>
            <w:r>
              <w:rPr>
                <w:rStyle w:val="monigrammi"/>
                <w:rFonts w:ascii="Times New Roman" w:hAnsi="Times New Roman" w:cs="Times New Roman"/>
                <w:w w:val="90"/>
                <w:sz w:val="21"/>
                <w:szCs w:val="21"/>
                <w:lang w:eastAsia="en-US"/>
              </w:rPr>
              <w:t>500</w:t>
            </w:r>
          </w:p>
          <w:p w:rsidR="00E54474" w:rsidRDefault="00E54474">
            <w:pPr>
              <w:pStyle w:val="pinakaskeimeno"/>
              <w:jc w:val="right"/>
              <w:rPr>
                <w:rFonts w:ascii="Times New Roman" w:hAnsi="Times New Roman" w:cs="Times New Roman"/>
                <w:sz w:val="21"/>
                <w:szCs w:val="21"/>
                <w:lang w:eastAsia="en-US"/>
              </w:rPr>
            </w:pPr>
            <w:r>
              <w:rPr>
                <w:rFonts w:ascii="Times New Roman" w:hAnsi="Times New Roman" w:cs="Times New Roman"/>
                <w:w w:val="90"/>
                <w:sz w:val="21"/>
                <w:szCs w:val="21"/>
                <w:lang w:eastAsia="en-US"/>
              </w:rPr>
              <w:t>600</w:t>
            </w:r>
          </w:p>
        </w:tc>
        <w:tc>
          <w:tcPr>
            <w:tcW w:w="58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E54474" w:rsidRDefault="00E54474">
            <w:pPr>
              <w:pStyle w:val="pinakaskeimeno"/>
              <w:jc w:val="right"/>
              <w:rPr>
                <w:rFonts w:ascii="Times New Roman" w:hAnsi="Times New Roman" w:cs="Times New Roman"/>
                <w:w w:val="90"/>
                <w:sz w:val="21"/>
                <w:szCs w:val="21"/>
                <w:lang w:eastAsia="en-US"/>
              </w:rPr>
            </w:pPr>
            <w:r>
              <w:rPr>
                <w:rFonts w:ascii="Times New Roman" w:hAnsi="Times New Roman" w:cs="Times New Roman"/>
                <w:b/>
                <w:bCs/>
                <w:w w:val="90"/>
                <w:sz w:val="21"/>
                <w:szCs w:val="21"/>
                <w:lang w:eastAsia="en-US"/>
              </w:rPr>
              <w:t>15</w:t>
            </w:r>
          </w:p>
          <w:p w:rsidR="00E54474" w:rsidRDefault="00E54474">
            <w:pPr>
              <w:pStyle w:val="pinakaskeimeno"/>
              <w:jc w:val="right"/>
              <w:rPr>
                <w:rFonts w:ascii="Times New Roman" w:hAnsi="Times New Roman" w:cs="Times New Roman"/>
                <w:sz w:val="21"/>
                <w:szCs w:val="21"/>
                <w:lang w:eastAsia="en-US"/>
              </w:rPr>
            </w:pPr>
            <w:r>
              <w:rPr>
                <w:rFonts w:ascii="Times New Roman" w:hAnsi="Times New Roman" w:cs="Times New Roman"/>
                <w:w w:val="90"/>
                <w:sz w:val="21"/>
                <w:szCs w:val="21"/>
                <w:lang w:eastAsia="en-US"/>
              </w:rPr>
              <w:t>18</w:t>
            </w:r>
          </w:p>
        </w:tc>
        <w:tc>
          <w:tcPr>
            <w:tcW w:w="87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E54474" w:rsidRDefault="00E54474">
            <w:pPr>
              <w:pStyle w:val="pinakaskeimeno"/>
              <w:jc w:val="right"/>
              <w:rPr>
                <w:rFonts w:ascii="Times New Roman" w:hAnsi="Times New Roman" w:cs="Times New Roman"/>
                <w:b/>
                <w:bCs/>
                <w:w w:val="90"/>
                <w:sz w:val="21"/>
                <w:szCs w:val="21"/>
                <w:lang w:eastAsia="en-US"/>
              </w:rPr>
            </w:pPr>
            <w:r>
              <w:rPr>
                <w:rFonts w:ascii="Times New Roman" w:hAnsi="Times New Roman" w:cs="Times New Roman"/>
                <w:b/>
                <w:bCs/>
                <w:w w:val="90"/>
                <w:sz w:val="21"/>
                <w:szCs w:val="21"/>
                <w:lang w:eastAsia="en-US"/>
              </w:rPr>
              <w:t>1.500</w:t>
            </w:r>
          </w:p>
          <w:p w:rsidR="00E54474" w:rsidRDefault="00E54474">
            <w:pPr>
              <w:pStyle w:val="pinakaskeimeno"/>
              <w:jc w:val="right"/>
              <w:rPr>
                <w:rFonts w:ascii="Times New Roman" w:hAnsi="Times New Roman" w:cs="Times New Roman"/>
                <w:w w:val="90"/>
                <w:sz w:val="21"/>
                <w:szCs w:val="21"/>
                <w:lang w:eastAsia="en-US"/>
              </w:rPr>
            </w:pPr>
            <w:r>
              <w:rPr>
                <w:rStyle w:val="monigrammi"/>
                <w:rFonts w:ascii="Times New Roman" w:hAnsi="Times New Roman" w:cs="Times New Roman"/>
                <w:w w:val="90"/>
                <w:sz w:val="21"/>
                <w:szCs w:val="21"/>
                <w:lang w:eastAsia="en-US"/>
              </w:rPr>
              <w:t>9.000</w:t>
            </w:r>
          </w:p>
          <w:p w:rsidR="00E54474" w:rsidRDefault="00E54474">
            <w:pPr>
              <w:pStyle w:val="pinakaskeimeno"/>
              <w:jc w:val="right"/>
              <w:rPr>
                <w:rFonts w:ascii="Times New Roman" w:hAnsi="Times New Roman" w:cs="Times New Roman"/>
                <w:sz w:val="21"/>
                <w:szCs w:val="21"/>
                <w:lang w:eastAsia="en-US"/>
              </w:rPr>
            </w:pPr>
            <w:r>
              <w:rPr>
                <w:rFonts w:ascii="Times New Roman" w:hAnsi="Times New Roman" w:cs="Times New Roman"/>
                <w:w w:val="90"/>
                <w:sz w:val="21"/>
                <w:szCs w:val="21"/>
                <w:lang w:eastAsia="en-US"/>
              </w:rPr>
              <w:t>10.500</w:t>
            </w:r>
          </w:p>
        </w:tc>
      </w:tr>
      <w:tr w:rsidR="00E54474" w:rsidTr="00E54474">
        <w:trPr>
          <w:trHeight w:hRule="exact" w:val="649"/>
        </w:trPr>
        <w:tc>
          <w:tcPr>
            <w:tcW w:w="42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w w:val="90"/>
                <w:sz w:val="21"/>
                <w:szCs w:val="21"/>
                <w:lang w:eastAsia="en-US"/>
              </w:rPr>
              <w:t>Ιαν.</w:t>
            </w:r>
          </w:p>
        </w:tc>
        <w:tc>
          <w:tcPr>
            <w:tcW w:w="36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w w:val="90"/>
                <w:sz w:val="21"/>
                <w:szCs w:val="21"/>
                <w:lang w:eastAsia="en-US"/>
              </w:rPr>
              <w:t>15</w:t>
            </w:r>
          </w:p>
        </w:tc>
        <w:tc>
          <w:tcPr>
            <w:tcW w:w="192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E54474" w:rsidRDefault="00E54474">
            <w:pPr>
              <w:pStyle w:val="pinakaskeimeno"/>
              <w:rPr>
                <w:rFonts w:ascii="Times New Roman" w:hAnsi="Times New Roman" w:cs="Times New Roman"/>
                <w:sz w:val="21"/>
                <w:szCs w:val="21"/>
                <w:lang w:eastAsia="en-US"/>
              </w:rPr>
            </w:pPr>
            <w:r>
              <w:rPr>
                <w:rFonts w:ascii="Times New Roman" w:hAnsi="Times New Roman" w:cs="Times New Roman"/>
                <w:w w:val="90"/>
                <w:sz w:val="21"/>
                <w:szCs w:val="21"/>
                <w:lang w:eastAsia="en-US"/>
              </w:rPr>
              <w:t>Πώληση</w:t>
            </w:r>
          </w:p>
        </w:tc>
        <w:tc>
          <w:tcPr>
            <w:tcW w:w="74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E54474" w:rsidRDefault="00E54474">
            <w:pPr>
              <w:pStyle w:val="NoParagraphStyle"/>
              <w:spacing w:line="240" w:lineRule="auto"/>
              <w:jc w:val="right"/>
              <w:rPr>
                <w:rFonts w:ascii="Times New Roman" w:hAnsi="Times New Roman" w:cs="Times New Roman"/>
                <w:color w:val="auto"/>
                <w:sz w:val="21"/>
                <w:szCs w:val="21"/>
                <w:lang w:eastAsia="en-US"/>
              </w:rPr>
            </w:pPr>
          </w:p>
        </w:tc>
        <w:tc>
          <w:tcPr>
            <w:tcW w:w="57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E54474" w:rsidRDefault="00E54474">
            <w:pPr>
              <w:pStyle w:val="NoParagraphStyle"/>
              <w:spacing w:line="240" w:lineRule="auto"/>
              <w:jc w:val="right"/>
              <w:rPr>
                <w:rFonts w:ascii="Times New Roman" w:hAnsi="Times New Roman" w:cs="Times New Roman"/>
                <w:color w:val="auto"/>
                <w:sz w:val="21"/>
                <w:szCs w:val="21"/>
                <w:lang w:eastAsia="en-US"/>
              </w:rPr>
            </w:pPr>
          </w:p>
        </w:tc>
        <w:tc>
          <w:tcPr>
            <w:tcW w:w="8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E54474" w:rsidRDefault="00E54474">
            <w:pPr>
              <w:pStyle w:val="NoParagraphStyle"/>
              <w:spacing w:line="240" w:lineRule="auto"/>
              <w:jc w:val="right"/>
              <w:rPr>
                <w:rFonts w:ascii="Times New Roman" w:hAnsi="Times New Roman" w:cs="Times New Roman"/>
                <w:color w:val="auto"/>
                <w:sz w:val="21"/>
                <w:szCs w:val="21"/>
                <w:lang w:eastAsia="en-US"/>
              </w:rPr>
            </w:pPr>
          </w:p>
        </w:tc>
        <w:tc>
          <w:tcPr>
            <w:tcW w:w="77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E54474" w:rsidRDefault="00E54474">
            <w:pPr>
              <w:pStyle w:val="pinakaskeimeno"/>
              <w:jc w:val="right"/>
              <w:rPr>
                <w:rFonts w:ascii="Times New Roman" w:hAnsi="Times New Roman" w:cs="Times New Roman"/>
                <w:w w:val="90"/>
                <w:sz w:val="21"/>
                <w:szCs w:val="21"/>
                <w:lang w:val="en-US" w:eastAsia="en-US"/>
              </w:rPr>
            </w:pPr>
            <w:r>
              <w:rPr>
                <w:rFonts w:ascii="Times New Roman" w:hAnsi="Times New Roman" w:cs="Times New Roman"/>
                <w:w w:val="90"/>
                <w:sz w:val="21"/>
                <w:szCs w:val="21"/>
                <w:lang w:val="en-US" w:eastAsia="en-US"/>
              </w:rPr>
              <w:t>100</w:t>
            </w:r>
          </w:p>
          <w:p w:rsidR="00E54474" w:rsidRDefault="00E54474">
            <w:pPr>
              <w:jc w:val="right"/>
              <w:rPr>
                <w:rFonts w:eastAsia="Calibri"/>
                <w:color w:val="000000"/>
                <w:w w:val="90"/>
                <w:sz w:val="21"/>
                <w:szCs w:val="21"/>
                <w:lang w:val="en-US" w:eastAsia="en-US"/>
              </w:rPr>
            </w:pPr>
            <w:r>
              <w:rPr>
                <w:rFonts w:eastAsia="Calibri"/>
                <w:color w:val="000000"/>
                <w:w w:val="90"/>
                <w:sz w:val="21"/>
                <w:szCs w:val="21"/>
                <w:lang w:val="en-US" w:eastAsia="en-US"/>
              </w:rPr>
              <w:t>300</w:t>
            </w:r>
          </w:p>
        </w:tc>
        <w:tc>
          <w:tcPr>
            <w:tcW w:w="62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E54474" w:rsidRDefault="00E54474">
            <w:pPr>
              <w:pStyle w:val="pinakaskeimeno"/>
              <w:jc w:val="right"/>
              <w:rPr>
                <w:rFonts w:ascii="Times New Roman" w:hAnsi="Times New Roman" w:cs="Times New Roman"/>
                <w:w w:val="90"/>
                <w:sz w:val="21"/>
                <w:szCs w:val="21"/>
                <w:lang w:val="en-US" w:eastAsia="en-US"/>
              </w:rPr>
            </w:pPr>
            <w:r>
              <w:rPr>
                <w:rFonts w:ascii="Times New Roman" w:hAnsi="Times New Roman" w:cs="Times New Roman"/>
                <w:w w:val="90"/>
                <w:sz w:val="21"/>
                <w:szCs w:val="21"/>
                <w:lang w:val="en-US" w:eastAsia="en-US"/>
              </w:rPr>
              <w:t>15</w:t>
            </w:r>
          </w:p>
          <w:p w:rsidR="00E54474" w:rsidRDefault="00E54474">
            <w:pPr>
              <w:pStyle w:val="pinakaskeimeno"/>
              <w:jc w:val="right"/>
              <w:rPr>
                <w:lang w:val="en-US" w:eastAsia="en-US"/>
              </w:rPr>
            </w:pPr>
            <w:r>
              <w:rPr>
                <w:rFonts w:ascii="Times New Roman" w:hAnsi="Times New Roman" w:cs="Times New Roman"/>
                <w:w w:val="90"/>
                <w:sz w:val="21"/>
                <w:szCs w:val="21"/>
                <w:lang w:val="en-US" w:eastAsia="en-US"/>
              </w:rPr>
              <w:t>18</w:t>
            </w:r>
          </w:p>
        </w:tc>
        <w:tc>
          <w:tcPr>
            <w:tcW w:w="78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E54474" w:rsidRDefault="00E54474">
            <w:pPr>
              <w:pStyle w:val="pinakaskeimeno"/>
              <w:jc w:val="right"/>
              <w:rPr>
                <w:rFonts w:ascii="Times New Roman" w:hAnsi="Times New Roman" w:cs="Times New Roman"/>
                <w:w w:val="90"/>
                <w:sz w:val="21"/>
                <w:szCs w:val="21"/>
                <w:lang w:val="en-US" w:eastAsia="en-US"/>
              </w:rPr>
            </w:pPr>
            <w:r>
              <w:rPr>
                <w:rFonts w:ascii="Times New Roman" w:hAnsi="Times New Roman" w:cs="Times New Roman"/>
                <w:w w:val="90"/>
                <w:sz w:val="21"/>
                <w:szCs w:val="21"/>
                <w:lang w:val="en-US" w:eastAsia="en-US"/>
              </w:rPr>
              <w:t>1.500</w:t>
            </w:r>
          </w:p>
          <w:p w:rsidR="00E54474" w:rsidRDefault="00E54474">
            <w:pPr>
              <w:pStyle w:val="pinakaskeimeno"/>
              <w:jc w:val="right"/>
              <w:rPr>
                <w:rFonts w:ascii="Times New Roman" w:hAnsi="Times New Roman" w:cs="Times New Roman"/>
                <w:w w:val="90"/>
                <w:sz w:val="21"/>
                <w:szCs w:val="21"/>
                <w:lang w:val="en-US" w:eastAsia="en-US"/>
              </w:rPr>
            </w:pPr>
            <w:r>
              <w:rPr>
                <w:rFonts w:ascii="Times New Roman" w:hAnsi="Times New Roman" w:cs="Times New Roman"/>
                <w:w w:val="90"/>
                <w:sz w:val="21"/>
                <w:szCs w:val="21"/>
                <w:lang w:val="en-US" w:eastAsia="en-US"/>
              </w:rPr>
              <w:t>5.400</w:t>
            </w:r>
          </w:p>
          <w:p w:rsidR="00E54474" w:rsidRDefault="00E54474">
            <w:pPr>
              <w:pStyle w:val="pinakaskeimeno"/>
              <w:jc w:val="right"/>
              <w:rPr>
                <w:rFonts w:ascii="Times New Roman" w:hAnsi="Times New Roman" w:cs="Times New Roman"/>
                <w:w w:val="90"/>
                <w:sz w:val="21"/>
                <w:szCs w:val="21"/>
                <w:lang w:val="en-US" w:eastAsia="en-US"/>
              </w:rPr>
            </w:pPr>
          </w:p>
        </w:tc>
        <w:tc>
          <w:tcPr>
            <w:tcW w:w="7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E54474" w:rsidRDefault="00E54474">
            <w:pPr>
              <w:pStyle w:val="pinakaskeimeno"/>
              <w:jc w:val="right"/>
              <w:rPr>
                <w:rFonts w:ascii="Times New Roman" w:hAnsi="Times New Roman" w:cs="Times New Roman"/>
                <w:w w:val="90"/>
                <w:sz w:val="21"/>
                <w:szCs w:val="21"/>
                <w:lang w:val="en-US" w:eastAsia="en-US"/>
              </w:rPr>
            </w:pPr>
          </w:p>
          <w:p w:rsidR="00E54474" w:rsidRDefault="00E54474">
            <w:pPr>
              <w:jc w:val="right"/>
              <w:rPr>
                <w:rFonts w:eastAsia="Calibri"/>
                <w:color w:val="000000"/>
                <w:w w:val="90"/>
                <w:sz w:val="21"/>
                <w:szCs w:val="21"/>
                <w:lang w:val="en-US" w:eastAsia="en-US"/>
              </w:rPr>
            </w:pPr>
            <w:r>
              <w:rPr>
                <w:rFonts w:eastAsia="Calibri"/>
                <w:color w:val="000000"/>
                <w:w w:val="90"/>
                <w:sz w:val="21"/>
                <w:szCs w:val="21"/>
                <w:lang w:val="en-US" w:eastAsia="en-US"/>
              </w:rPr>
              <w:t>200</w:t>
            </w:r>
          </w:p>
        </w:tc>
        <w:tc>
          <w:tcPr>
            <w:tcW w:w="58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E54474" w:rsidRDefault="00E54474">
            <w:pPr>
              <w:pStyle w:val="pinakaskeimeno"/>
              <w:jc w:val="right"/>
              <w:rPr>
                <w:rFonts w:ascii="Times New Roman" w:hAnsi="Times New Roman" w:cs="Times New Roman"/>
                <w:w w:val="90"/>
                <w:sz w:val="21"/>
                <w:szCs w:val="21"/>
                <w:lang w:val="en-US" w:eastAsia="en-US"/>
              </w:rPr>
            </w:pPr>
          </w:p>
          <w:p w:rsidR="00E54474" w:rsidRDefault="00E54474">
            <w:pPr>
              <w:jc w:val="right"/>
              <w:rPr>
                <w:rFonts w:eastAsia="Calibri"/>
                <w:color w:val="000000"/>
                <w:w w:val="90"/>
                <w:sz w:val="21"/>
                <w:szCs w:val="21"/>
                <w:lang w:val="en-US" w:eastAsia="en-US"/>
              </w:rPr>
            </w:pPr>
            <w:r>
              <w:rPr>
                <w:rFonts w:eastAsia="Calibri"/>
                <w:color w:val="000000"/>
                <w:w w:val="90"/>
                <w:sz w:val="21"/>
                <w:szCs w:val="21"/>
                <w:lang w:val="en-US" w:eastAsia="en-US"/>
              </w:rPr>
              <w:t>18</w:t>
            </w:r>
          </w:p>
        </w:tc>
        <w:tc>
          <w:tcPr>
            <w:tcW w:w="87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E54474" w:rsidRDefault="00E54474">
            <w:pPr>
              <w:pStyle w:val="pinakaskeimeno"/>
              <w:jc w:val="right"/>
              <w:rPr>
                <w:rFonts w:ascii="Times New Roman" w:hAnsi="Times New Roman" w:cs="Times New Roman"/>
                <w:w w:val="90"/>
                <w:sz w:val="21"/>
                <w:szCs w:val="21"/>
                <w:lang w:val="en-US" w:eastAsia="en-US"/>
              </w:rPr>
            </w:pPr>
          </w:p>
          <w:p w:rsidR="00E54474" w:rsidRDefault="00E54474">
            <w:pPr>
              <w:jc w:val="right"/>
              <w:rPr>
                <w:rFonts w:eastAsia="Calibri"/>
                <w:color w:val="000000"/>
                <w:w w:val="90"/>
                <w:sz w:val="21"/>
                <w:szCs w:val="21"/>
                <w:lang w:val="en-US" w:eastAsia="en-US"/>
              </w:rPr>
            </w:pPr>
            <w:r>
              <w:rPr>
                <w:rFonts w:eastAsia="Calibri"/>
                <w:color w:val="000000"/>
                <w:w w:val="90"/>
                <w:sz w:val="21"/>
                <w:szCs w:val="21"/>
                <w:lang w:val="en-US" w:eastAsia="en-US"/>
              </w:rPr>
              <w:t>3.600</w:t>
            </w:r>
          </w:p>
        </w:tc>
      </w:tr>
      <w:tr w:rsidR="00E54474" w:rsidTr="00E54474">
        <w:trPr>
          <w:trHeight w:hRule="exact" w:val="797"/>
        </w:trPr>
        <w:tc>
          <w:tcPr>
            <w:tcW w:w="42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w w:val="90"/>
                <w:sz w:val="21"/>
                <w:szCs w:val="21"/>
                <w:lang w:eastAsia="en-US"/>
              </w:rPr>
              <w:t>Ιαν.</w:t>
            </w:r>
          </w:p>
        </w:tc>
        <w:tc>
          <w:tcPr>
            <w:tcW w:w="36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w w:val="90"/>
                <w:sz w:val="21"/>
                <w:szCs w:val="21"/>
                <w:lang w:eastAsia="en-US"/>
              </w:rPr>
              <w:t>26</w:t>
            </w:r>
          </w:p>
        </w:tc>
        <w:tc>
          <w:tcPr>
            <w:tcW w:w="192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E54474" w:rsidRDefault="00E54474">
            <w:pPr>
              <w:pStyle w:val="pinakaskeimeno"/>
              <w:rPr>
                <w:rFonts w:ascii="Times New Roman" w:hAnsi="Times New Roman" w:cs="Times New Roman"/>
                <w:sz w:val="21"/>
                <w:szCs w:val="21"/>
                <w:lang w:eastAsia="en-US"/>
              </w:rPr>
            </w:pPr>
            <w:r>
              <w:rPr>
                <w:rFonts w:ascii="Times New Roman" w:hAnsi="Times New Roman" w:cs="Times New Roman"/>
                <w:w w:val="90"/>
                <w:sz w:val="21"/>
                <w:szCs w:val="21"/>
                <w:lang w:eastAsia="en-US"/>
              </w:rPr>
              <w:t>Αγορά</w:t>
            </w:r>
          </w:p>
        </w:tc>
        <w:tc>
          <w:tcPr>
            <w:tcW w:w="74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E54474" w:rsidRDefault="00E54474">
            <w:pPr>
              <w:pStyle w:val="pinakaskeimeno"/>
              <w:jc w:val="right"/>
              <w:rPr>
                <w:rFonts w:ascii="Times New Roman" w:hAnsi="Times New Roman" w:cs="Times New Roman"/>
                <w:sz w:val="21"/>
                <w:szCs w:val="21"/>
                <w:lang w:eastAsia="en-US"/>
              </w:rPr>
            </w:pPr>
            <w:r>
              <w:rPr>
                <w:rFonts w:ascii="Times New Roman" w:hAnsi="Times New Roman" w:cs="Times New Roman"/>
                <w:w w:val="90"/>
                <w:sz w:val="21"/>
                <w:szCs w:val="21"/>
                <w:lang w:eastAsia="en-US"/>
              </w:rPr>
              <w:t>600</w:t>
            </w:r>
          </w:p>
        </w:tc>
        <w:tc>
          <w:tcPr>
            <w:tcW w:w="57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E54474" w:rsidRDefault="00E54474">
            <w:pPr>
              <w:pStyle w:val="pinakaskeimeno"/>
              <w:jc w:val="right"/>
              <w:rPr>
                <w:rFonts w:ascii="Times New Roman" w:hAnsi="Times New Roman" w:cs="Times New Roman"/>
                <w:sz w:val="21"/>
                <w:szCs w:val="21"/>
                <w:lang w:eastAsia="en-US"/>
              </w:rPr>
            </w:pPr>
            <w:r>
              <w:rPr>
                <w:rFonts w:ascii="Times New Roman" w:hAnsi="Times New Roman" w:cs="Times New Roman"/>
                <w:w w:val="90"/>
                <w:sz w:val="21"/>
                <w:szCs w:val="21"/>
                <w:lang w:eastAsia="en-US"/>
              </w:rPr>
              <w:t>20</w:t>
            </w:r>
          </w:p>
        </w:tc>
        <w:tc>
          <w:tcPr>
            <w:tcW w:w="8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E54474" w:rsidRDefault="00E54474">
            <w:pPr>
              <w:pStyle w:val="pinakaskeimeno"/>
              <w:jc w:val="right"/>
              <w:rPr>
                <w:rFonts w:ascii="Times New Roman" w:hAnsi="Times New Roman" w:cs="Times New Roman"/>
                <w:sz w:val="21"/>
                <w:szCs w:val="21"/>
                <w:lang w:eastAsia="en-US"/>
              </w:rPr>
            </w:pPr>
            <w:r>
              <w:rPr>
                <w:rFonts w:ascii="Times New Roman" w:hAnsi="Times New Roman" w:cs="Times New Roman"/>
                <w:w w:val="90"/>
                <w:sz w:val="21"/>
                <w:szCs w:val="21"/>
                <w:lang w:eastAsia="en-US"/>
              </w:rPr>
              <w:t>12.000</w:t>
            </w:r>
          </w:p>
        </w:tc>
        <w:tc>
          <w:tcPr>
            <w:tcW w:w="77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E54474" w:rsidRDefault="00E54474">
            <w:pPr>
              <w:pStyle w:val="NoParagraphStyle"/>
              <w:spacing w:line="240" w:lineRule="auto"/>
              <w:jc w:val="right"/>
              <w:rPr>
                <w:rFonts w:ascii="Times New Roman" w:hAnsi="Times New Roman" w:cs="Times New Roman"/>
                <w:color w:val="auto"/>
                <w:sz w:val="21"/>
                <w:szCs w:val="21"/>
                <w:lang w:eastAsia="en-US"/>
              </w:rPr>
            </w:pPr>
          </w:p>
        </w:tc>
        <w:tc>
          <w:tcPr>
            <w:tcW w:w="62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E54474" w:rsidRDefault="00E54474">
            <w:pPr>
              <w:pStyle w:val="NoParagraphStyle"/>
              <w:spacing w:line="240" w:lineRule="auto"/>
              <w:jc w:val="right"/>
              <w:rPr>
                <w:rFonts w:ascii="Times New Roman" w:hAnsi="Times New Roman" w:cs="Times New Roman"/>
                <w:color w:val="auto"/>
                <w:sz w:val="21"/>
                <w:szCs w:val="21"/>
                <w:lang w:eastAsia="en-US"/>
              </w:rPr>
            </w:pPr>
          </w:p>
        </w:tc>
        <w:tc>
          <w:tcPr>
            <w:tcW w:w="78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E54474" w:rsidRDefault="00E54474">
            <w:pPr>
              <w:pStyle w:val="NoParagraphStyle"/>
              <w:spacing w:line="240" w:lineRule="auto"/>
              <w:jc w:val="right"/>
              <w:rPr>
                <w:rFonts w:ascii="Times New Roman" w:hAnsi="Times New Roman" w:cs="Times New Roman"/>
                <w:color w:val="auto"/>
                <w:sz w:val="21"/>
                <w:szCs w:val="21"/>
                <w:lang w:eastAsia="en-US"/>
              </w:rPr>
            </w:pPr>
          </w:p>
        </w:tc>
        <w:tc>
          <w:tcPr>
            <w:tcW w:w="7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E54474" w:rsidRDefault="00E54474">
            <w:pPr>
              <w:pStyle w:val="pinakaskeimeno"/>
              <w:jc w:val="right"/>
              <w:rPr>
                <w:rStyle w:val="monigrammi"/>
                <w:rFonts w:ascii="Times New Roman" w:hAnsi="Times New Roman" w:cs="Times New Roman"/>
                <w:w w:val="90"/>
                <w:sz w:val="21"/>
                <w:szCs w:val="21"/>
                <w:u w:val="none"/>
                <w:lang w:val="en-US"/>
              </w:rPr>
            </w:pPr>
            <w:r>
              <w:rPr>
                <w:rStyle w:val="monigrammi"/>
                <w:rFonts w:ascii="Times New Roman" w:hAnsi="Times New Roman" w:cs="Times New Roman"/>
                <w:w w:val="90"/>
                <w:sz w:val="21"/>
                <w:szCs w:val="21"/>
                <w:u w:val="none"/>
                <w:lang w:val="en-US" w:eastAsia="en-US"/>
              </w:rPr>
              <w:t>200</w:t>
            </w:r>
          </w:p>
          <w:p w:rsidR="00E54474" w:rsidRDefault="00E54474">
            <w:pPr>
              <w:pStyle w:val="pinakaskeimeno"/>
              <w:jc w:val="right"/>
              <w:rPr>
                <w:u w:val="single"/>
              </w:rPr>
            </w:pPr>
            <w:r>
              <w:rPr>
                <w:rStyle w:val="monigrammi"/>
                <w:rFonts w:ascii="Times New Roman" w:hAnsi="Times New Roman" w:cs="Times New Roman"/>
                <w:w w:val="90"/>
                <w:sz w:val="21"/>
                <w:szCs w:val="21"/>
                <w:u w:val="single"/>
                <w:lang w:eastAsia="en-US"/>
              </w:rPr>
              <w:t>600</w:t>
            </w:r>
          </w:p>
          <w:p w:rsidR="00E54474" w:rsidRDefault="00E54474">
            <w:pPr>
              <w:pStyle w:val="pinakaskeimeno"/>
              <w:jc w:val="right"/>
              <w:rPr>
                <w:rFonts w:ascii="Times New Roman" w:hAnsi="Times New Roman" w:cs="Times New Roman"/>
                <w:sz w:val="21"/>
                <w:szCs w:val="21"/>
                <w:lang w:eastAsia="en-US"/>
              </w:rPr>
            </w:pPr>
            <w:r>
              <w:rPr>
                <w:rFonts w:ascii="Times New Roman" w:hAnsi="Times New Roman" w:cs="Times New Roman"/>
                <w:w w:val="90"/>
                <w:sz w:val="21"/>
                <w:szCs w:val="21"/>
                <w:lang w:eastAsia="en-US"/>
              </w:rPr>
              <w:t>800</w:t>
            </w:r>
          </w:p>
        </w:tc>
        <w:tc>
          <w:tcPr>
            <w:tcW w:w="58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E54474" w:rsidRDefault="00E54474">
            <w:pPr>
              <w:pStyle w:val="pinakaskeimeno"/>
              <w:tabs>
                <w:tab w:val="right" w:pos="467"/>
              </w:tabs>
              <w:jc w:val="right"/>
              <w:rPr>
                <w:rFonts w:ascii="Times New Roman" w:hAnsi="Times New Roman" w:cs="Times New Roman"/>
                <w:sz w:val="21"/>
                <w:szCs w:val="21"/>
                <w:lang w:val="en-US" w:eastAsia="en-US"/>
              </w:rPr>
            </w:pPr>
            <w:r>
              <w:rPr>
                <w:rFonts w:ascii="Times New Roman" w:hAnsi="Times New Roman" w:cs="Times New Roman"/>
                <w:sz w:val="21"/>
                <w:szCs w:val="21"/>
                <w:lang w:val="en-US" w:eastAsia="en-US"/>
              </w:rPr>
              <w:t>18</w:t>
            </w:r>
          </w:p>
          <w:p w:rsidR="00E54474" w:rsidRDefault="00E54474">
            <w:pPr>
              <w:pStyle w:val="pinakaskeimeno"/>
              <w:tabs>
                <w:tab w:val="right" w:pos="467"/>
              </w:tabs>
              <w:jc w:val="right"/>
              <w:rPr>
                <w:rFonts w:ascii="Times New Roman" w:hAnsi="Times New Roman" w:cs="Times New Roman"/>
                <w:sz w:val="21"/>
                <w:szCs w:val="21"/>
                <w:lang w:val="en-US" w:eastAsia="en-US"/>
              </w:rPr>
            </w:pPr>
            <w:r>
              <w:rPr>
                <w:rFonts w:ascii="Times New Roman" w:hAnsi="Times New Roman" w:cs="Times New Roman"/>
                <w:sz w:val="21"/>
                <w:szCs w:val="21"/>
                <w:lang w:val="en-US" w:eastAsia="en-US"/>
              </w:rPr>
              <w:t>20</w:t>
            </w:r>
          </w:p>
        </w:tc>
        <w:tc>
          <w:tcPr>
            <w:tcW w:w="87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E54474" w:rsidRDefault="00E54474">
            <w:pPr>
              <w:pStyle w:val="pinakaskeimeno"/>
              <w:jc w:val="right"/>
              <w:rPr>
                <w:rFonts w:ascii="Times New Roman" w:hAnsi="Times New Roman" w:cs="Times New Roman"/>
                <w:w w:val="90"/>
                <w:sz w:val="21"/>
                <w:szCs w:val="21"/>
                <w:lang w:val="en-US" w:eastAsia="en-US"/>
              </w:rPr>
            </w:pPr>
            <w:r>
              <w:rPr>
                <w:rFonts w:ascii="Times New Roman" w:hAnsi="Times New Roman" w:cs="Times New Roman"/>
                <w:w w:val="90"/>
                <w:sz w:val="21"/>
                <w:szCs w:val="21"/>
                <w:lang w:val="en-US" w:eastAsia="en-US"/>
              </w:rPr>
              <w:t>3.600</w:t>
            </w:r>
          </w:p>
          <w:p w:rsidR="00E54474" w:rsidRDefault="00E54474">
            <w:pPr>
              <w:pStyle w:val="pinakaskeimeno"/>
              <w:tabs>
                <w:tab w:val="right" w:pos="758"/>
              </w:tabs>
              <w:jc w:val="right"/>
              <w:rPr>
                <w:rFonts w:ascii="Times New Roman" w:hAnsi="Times New Roman" w:cs="Times New Roman"/>
                <w:w w:val="90"/>
                <w:sz w:val="21"/>
                <w:szCs w:val="21"/>
                <w:u w:val="single"/>
                <w:lang w:val="en-US" w:eastAsia="en-US"/>
              </w:rPr>
            </w:pPr>
            <w:r>
              <w:rPr>
                <w:rFonts w:ascii="Times New Roman" w:hAnsi="Times New Roman" w:cs="Times New Roman"/>
                <w:w w:val="90"/>
                <w:sz w:val="21"/>
                <w:szCs w:val="21"/>
                <w:u w:val="single"/>
                <w:lang w:val="en-US" w:eastAsia="en-US"/>
              </w:rPr>
              <w:t>12.000</w:t>
            </w:r>
          </w:p>
          <w:p w:rsidR="00E54474" w:rsidRDefault="00E54474">
            <w:pPr>
              <w:pStyle w:val="pinakaskeimeno"/>
              <w:tabs>
                <w:tab w:val="right" w:pos="758"/>
              </w:tabs>
              <w:jc w:val="both"/>
              <w:rPr>
                <w:rFonts w:ascii="Times New Roman" w:hAnsi="Times New Roman" w:cs="Times New Roman"/>
                <w:sz w:val="21"/>
                <w:szCs w:val="21"/>
                <w:lang w:eastAsia="en-US"/>
              </w:rPr>
            </w:pPr>
            <w:r>
              <w:rPr>
                <w:rFonts w:ascii="Times New Roman" w:hAnsi="Times New Roman" w:cs="Times New Roman"/>
                <w:w w:val="90"/>
                <w:sz w:val="21"/>
                <w:szCs w:val="21"/>
                <w:lang w:eastAsia="en-US"/>
              </w:rPr>
              <w:tab/>
              <w:t>1</w:t>
            </w:r>
            <w:r>
              <w:rPr>
                <w:rFonts w:ascii="Times New Roman" w:hAnsi="Times New Roman" w:cs="Times New Roman"/>
                <w:w w:val="90"/>
                <w:sz w:val="21"/>
                <w:szCs w:val="21"/>
                <w:lang w:val="en-US" w:eastAsia="en-US"/>
              </w:rPr>
              <w:t>5</w:t>
            </w:r>
            <w:r>
              <w:rPr>
                <w:rFonts w:ascii="Times New Roman" w:hAnsi="Times New Roman" w:cs="Times New Roman"/>
                <w:w w:val="90"/>
                <w:sz w:val="21"/>
                <w:szCs w:val="21"/>
                <w:lang w:eastAsia="en-US"/>
              </w:rPr>
              <w:t>.</w:t>
            </w:r>
            <w:r>
              <w:rPr>
                <w:rFonts w:ascii="Times New Roman" w:hAnsi="Times New Roman" w:cs="Times New Roman"/>
                <w:w w:val="90"/>
                <w:sz w:val="21"/>
                <w:szCs w:val="21"/>
                <w:lang w:val="en-US" w:eastAsia="en-US"/>
              </w:rPr>
              <w:t>6</w:t>
            </w:r>
            <w:r>
              <w:rPr>
                <w:rFonts w:ascii="Times New Roman" w:hAnsi="Times New Roman" w:cs="Times New Roman"/>
                <w:w w:val="90"/>
                <w:sz w:val="21"/>
                <w:szCs w:val="21"/>
                <w:lang w:eastAsia="en-US"/>
              </w:rPr>
              <w:t>00</w:t>
            </w:r>
          </w:p>
        </w:tc>
      </w:tr>
      <w:tr w:rsidR="00E54474" w:rsidTr="00E54474">
        <w:trPr>
          <w:trHeight w:hRule="exact" w:val="795"/>
        </w:trPr>
        <w:tc>
          <w:tcPr>
            <w:tcW w:w="42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w w:val="90"/>
                <w:sz w:val="21"/>
                <w:szCs w:val="21"/>
                <w:lang w:eastAsia="en-US"/>
              </w:rPr>
              <w:t>Ιαν.</w:t>
            </w:r>
          </w:p>
        </w:tc>
        <w:tc>
          <w:tcPr>
            <w:tcW w:w="36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w w:val="90"/>
                <w:sz w:val="21"/>
                <w:szCs w:val="21"/>
                <w:lang w:eastAsia="en-US"/>
              </w:rPr>
              <w:t>28</w:t>
            </w:r>
          </w:p>
        </w:tc>
        <w:tc>
          <w:tcPr>
            <w:tcW w:w="192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E54474" w:rsidRDefault="00E54474">
            <w:pPr>
              <w:pStyle w:val="pinakaskeimeno"/>
              <w:rPr>
                <w:rFonts w:ascii="Times New Roman" w:hAnsi="Times New Roman" w:cs="Times New Roman"/>
                <w:sz w:val="21"/>
                <w:szCs w:val="21"/>
                <w:lang w:eastAsia="en-US"/>
              </w:rPr>
            </w:pPr>
            <w:r>
              <w:rPr>
                <w:rFonts w:ascii="Times New Roman" w:hAnsi="Times New Roman" w:cs="Times New Roman"/>
                <w:w w:val="90"/>
                <w:sz w:val="21"/>
                <w:szCs w:val="21"/>
                <w:lang w:eastAsia="en-US"/>
              </w:rPr>
              <w:t>Πώληση</w:t>
            </w:r>
          </w:p>
        </w:tc>
        <w:tc>
          <w:tcPr>
            <w:tcW w:w="74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E54474" w:rsidRDefault="00E54474">
            <w:pPr>
              <w:pStyle w:val="NoParagraphStyle"/>
              <w:spacing w:line="240" w:lineRule="auto"/>
              <w:jc w:val="right"/>
              <w:rPr>
                <w:rFonts w:ascii="Times New Roman" w:hAnsi="Times New Roman" w:cs="Times New Roman"/>
                <w:color w:val="auto"/>
                <w:sz w:val="21"/>
                <w:szCs w:val="21"/>
                <w:lang w:eastAsia="en-US"/>
              </w:rPr>
            </w:pPr>
          </w:p>
        </w:tc>
        <w:tc>
          <w:tcPr>
            <w:tcW w:w="57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E54474" w:rsidRDefault="00E54474">
            <w:pPr>
              <w:pStyle w:val="NoParagraphStyle"/>
              <w:spacing w:line="240" w:lineRule="auto"/>
              <w:jc w:val="right"/>
              <w:rPr>
                <w:rFonts w:ascii="Times New Roman" w:hAnsi="Times New Roman" w:cs="Times New Roman"/>
                <w:color w:val="auto"/>
                <w:sz w:val="21"/>
                <w:szCs w:val="21"/>
                <w:lang w:eastAsia="en-US"/>
              </w:rPr>
            </w:pPr>
          </w:p>
        </w:tc>
        <w:tc>
          <w:tcPr>
            <w:tcW w:w="8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E54474" w:rsidRDefault="00E54474">
            <w:pPr>
              <w:pStyle w:val="NoParagraphStyle"/>
              <w:spacing w:line="240" w:lineRule="auto"/>
              <w:jc w:val="right"/>
              <w:rPr>
                <w:rFonts w:ascii="Times New Roman" w:hAnsi="Times New Roman" w:cs="Times New Roman"/>
                <w:color w:val="auto"/>
                <w:sz w:val="21"/>
                <w:szCs w:val="21"/>
                <w:lang w:eastAsia="en-US"/>
              </w:rPr>
            </w:pPr>
          </w:p>
        </w:tc>
        <w:tc>
          <w:tcPr>
            <w:tcW w:w="77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E54474" w:rsidRDefault="00E54474">
            <w:pPr>
              <w:pStyle w:val="pinakaskeimeno"/>
              <w:jc w:val="right"/>
              <w:rPr>
                <w:rFonts w:ascii="Times New Roman" w:hAnsi="Times New Roman" w:cs="Times New Roman"/>
                <w:w w:val="90"/>
                <w:sz w:val="21"/>
                <w:szCs w:val="21"/>
                <w:lang w:eastAsia="en-US"/>
              </w:rPr>
            </w:pPr>
            <w:r>
              <w:rPr>
                <w:rFonts w:ascii="Times New Roman" w:hAnsi="Times New Roman" w:cs="Times New Roman"/>
                <w:w w:val="90"/>
                <w:sz w:val="21"/>
                <w:szCs w:val="21"/>
                <w:lang w:val="en-US" w:eastAsia="en-US"/>
              </w:rPr>
              <w:t>2</w:t>
            </w:r>
            <w:r>
              <w:rPr>
                <w:rFonts w:ascii="Times New Roman" w:hAnsi="Times New Roman" w:cs="Times New Roman"/>
                <w:w w:val="90"/>
                <w:sz w:val="21"/>
                <w:szCs w:val="21"/>
                <w:lang w:eastAsia="en-US"/>
              </w:rPr>
              <w:t>00</w:t>
            </w:r>
          </w:p>
          <w:p w:rsidR="00E54474" w:rsidRDefault="00E54474">
            <w:pPr>
              <w:pStyle w:val="pinakaskeimeno"/>
              <w:jc w:val="right"/>
              <w:rPr>
                <w:rFonts w:ascii="Times New Roman" w:hAnsi="Times New Roman" w:cs="Times New Roman"/>
                <w:sz w:val="21"/>
                <w:szCs w:val="21"/>
                <w:lang w:eastAsia="en-US"/>
              </w:rPr>
            </w:pPr>
            <w:r>
              <w:rPr>
                <w:rFonts w:ascii="Times New Roman" w:hAnsi="Times New Roman" w:cs="Times New Roman"/>
                <w:w w:val="90"/>
                <w:sz w:val="21"/>
                <w:szCs w:val="21"/>
                <w:lang w:val="en-US" w:eastAsia="en-US"/>
              </w:rPr>
              <w:t>5</w:t>
            </w:r>
            <w:r>
              <w:rPr>
                <w:rFonts w:ascii="Times New Roman" w:hAnsi="Times New Roman" w:cs="Times New Roman"/>
                <w:w w:val="90"/>
                <w:sz w:val="21"/>
                <w:szCs w:val="21"/>
                <w:lang w:eastAsia="en-US"/>
              </w:rPr>
              <w:t>00</w:t>
            </w:r>
          </w:p>
        </w:tc>
        <w:tc>
          <w:tcPr>
            <w:tcW w:w="62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E54474" w:rsidRDefault="00E54474">
            <w:pPr>
              <w:pStyle w:val="pinakaskeimeno"/>
              <w:jc w:val="right"/>
              <w:rPr>
                <w:rFonts w:ascii="Times New Roman" w:hAnsi="Times New Roman" w:cs="Times New Roman"/>
                <w:w w:val="90"/>
                <w:sz w:val="21"/>
                <w:szCs w:val="21"/>
                <w:lang w:val="en-US" w:eastAsia="en-US"/>
              </w:rPr>
            </w:pPr>
            <w:r>
              <w:rPr>
                <w:rFonts w:ascii="Times New Roman" w:hAnsi="Times New Roman" w:cs="Times New Roman"/>
                <w:w w:val="90"/>
                <w:sz w:val="21"/>
                <w:szCs w:val="21"/>
                <w:lang w:val="en-US" w:eastAsia="en-US"/>
              </w:rPr>
              <w:t>18</w:t>
            </w:r>
          </w:p>
          <w:p w:rsidR="00E54474" w:rsidRDefault="00E54474">
            <w:pPr>
              <w:pStyle w:val="pinakaskeimeno"/>
              <w:jc w:val="right"/>
              <w:rPr>
                <w:rFonts w:ascii="Times New Roman" w:hAnsi="Times New Roman" w:cs="Times New Roman"/>
                <w:sz w:val="21"/>
                <w:szCs w:val="21"/>
                <w:lang w:val="en-US" w:eastAsia="en-US"/>
              </w:rPr>
            </w:pPr>
            <w:r>
              <w:rPr>
                <w:rFonts w:ascii="Times New Roman" w:hAnsi="Times New Roman" w:cs="Times New Roman"/>
                <w:sz w:val="21"/>
                <w:szCs w:val="21"/>
                <w:lang w:val="en-US" w:eastAsia="en-US"/>
              </w:rPr>
              <w:t>20</w:t>
            </w:r>
          </w:p>
        </w:tc>
        <w:tc>
          <w:tcPr>
            <w:tcW w:w="78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E54474" w:rsidRDefault="00E54474">
            <w:pPr>
              <w:pStyle w:val="pinakaskeimeno"/>
              <w:jc w:val="right"/>
              <w:rPr>
                <w:rFonts w:ascii="Times New Roman" w:hAnsi="Times New Roman" w:cs="Times New Roman"/>
                <w:w w:val="90"/>
                <w:sz w:val="21"/>
                <w:szCs w:val="21"/>
                <w:lang w:eastAsia="en-US"/>
              </w:rPr>
            </w:pPr>
            <w:r>
              <w:rPr>
                <w:rFonts w:ascii="Times New Roman" w:hAnsi="Times New Roman" w:cs="Times New Roman"/>
                <w:w w:val="90"/>
                <w:sz w:val="21"/>
                <w:szCs w:val="21"/>
                <w:lang w:val="en-US" w:eastAsia="en-US"/>
              </w:rPr>
              <w:t>3.6</w:t>
            </w:r>
            <w:r>
              <w:rPr>
                <w:rFonts w:ascii="Times New Roman" w:hAnsi="Times New Roman" w:cs="Times New Roman"/>
                <w:w w:val="90"/>
                <w:sz w:val="21"/>
                <w:szCs w:val="21"/>
                <w:lang w:eastAsia="en-US"/>
              </w:rPr>
              <w:t>00</w:t>
            </w:r>
          </w:p>
          <w:p w:rsidR="00E54474" w:rsidRDefault="00E54474">
            <w:pPr>
              <w:pStyle w:val="pinakaskeimeno"/>
              <w:jc w:val="right"/>
              <w:rPr>
                <w:rFonts w:ascii="Times New Roman" w:hAnsi="Times New Roman" w:cs="Times New Roman"/>
                <w:sz w:val="21"/>
                <w:szCs w:val="21"/>
                <w:lang w:eastAsia="en-US"/>
              </w:rPr>
            </w:pPr>
            <w:r>
              <w:rPr>
                <w:rFonts w:ascii="Times New Roman" w:hAnsi="Times New Roman" w:cs="Times New Roman"/>
                <w:w w:val="90"/>
                <w:sz w:val="21"/>
                <w:szCs w:val="21"/>
                <w:lang w:eastAsia="en-US"/>
              </w:rPr>
              <w:t>1</w:t>
            </w:r>
            <w:r>
              <w:rPr>
                <w:rFonts w:ascii="Times New Roman" w:hAnsi="Times New Roman" w:cs="Times New Roman"/>
                <w:w w:val="90"/>
                <w:sz w:val="21"/>
                <w:szCs w:val="21"/>
                <w:lang w:val="en-US" w:eastAsia="en-US"/>
              </w:rPr>
              <w:t>0</w:t>
            </w:r>
            <w:r>
              <w:rPr>
                <w:rFonts w:ascii="Times New Roman" w:hAnsi="Times New Roman" w:cs="Times New Roman"/>
                <w:w w:val="90"/>
                <w:sz w:val="21"/>
                <w:szCs w:val="21"/>
                <w:lang w:eastAsia="en-US"/>
              </w:rPr>
              <w:t>.</w:t>
            </w:r>
            <w:r>
              <w:rPr>
                <w:rFonts w:ascii="Times New Roman" w:hAnsi="Times New Roman" w:cs="Times New Roman"/>
                <w:w w:val="90"/>
                <w:sz w:val="21"/>
                <w:szCs w:val="21"/>
                <w:lang w:val="en-US" w:eastAsia="en-US"/>
              </w:rPr>
              <w:t>0</w:t>
            </w:r>
            <w:r>
              <w:rPr>
                <w:rFonts w:ascii="Times New Roman" w:hAnsi="Times New Roman" w:cs="Times New Roman"/>
                <w:w w:val="90"/>
                <w:sz w:val="21"/>
                <w:szCs w:val="21"/>
                <w:lang w:eastAsia="en-US"/>
              </w:rPr>
              <w:t>00</w:t>
            </w:r>
          </w:p>
        </w:tc>
        <w:tc>
          <w:tcPr>
            <w:tcW w:w="723" w:type="dxa"/>
            <w:tcBorders>
              <w:top w:val="single" w:sz="4" w:space="0" w:color="000000"/>
              <w:left w:val="single" w:sz="4" w:space="0" w:color="000000"/>
              <w:bottom w:val="nil"/>
              <w:right w:val="single" w:sz="4" w:space="0" w:color="000000"/>
            </w:tcBorders>
            <w:tcMar>
              <w:top w:w="57" w:type="dxa"/>
              <w:left w:w="57" w:type="dxa"/>
              <w:bottom w:w="57" w:type="dxa"/>
              <w:right w:w="57" w:type="dxa"/>
            </w:tcMar>
          </w:tcPr>
          <w:p w:rsidR="00E54474" w:rsidRDefault="00E54474">
            <w:pPr>
              <w:pStyle w:val="pinakaskeimeno"/>
              <w:jc w:val="right"/>
              <w:rPr>
                <w:rFonts w:ascii="Times New Roman" w:hAnsi="Times New Roman" w:cs="Times New Roman"/>
                <w:w w:val="90"/>
                <w:sz w:val="21"/>
                <w:szCs w:val="21"/>
                <w:lang w:eastAsia="en-US"/>
              </w:rPr>
            </w:pPr>
          </w:p>
          <w:p w:rsidR="00E54474" w:rsidRDefault="00E54474">
            <w:pPr>
              <w:pStyle w:val="pinakaskeimeno"/>
              <w:jc w:val="right"/>
              <w:rPr>
                <w:rFonts w:ascii="Times New Roman" w:hAnsi="Times New Roman" w:cs="Times New Roman"/>
                <w:sz w:val="21"/>
                <w:szCs w:val="21"/>
                <w:lang w:eastAsia="en-US"/>
              </w:rPr>
            </w:pPr>
            <w:r>
              <w:rPr>
                <w:rFonts w:ascii="Times New Roman" w:hAnsi="Times New Roman" w:cs="Times New Roman"/>
                <w:w w:val="90"/>
                <w:sz w:val="21"/>
                <w:szCs w:val="21"/>
                <w:lang w:eastAsia="en-US"/>
              </w:rPr>
              <w:t>100</w:t>
            </w:r>
          </w:p>
        </w:tc>
        <w:tc>
          <w:tcPr>
            <w:tcW w:w="581" w:type="dxa"/>
            <w:tcBorders>
              <w:top w:val="single" w:sz="4" w:space="0" w:color="000000"/>
              <w:left w:val="single" w:sz="4" w:space="0" w:color="000000"/>
              <w:bottom w:val="nil"/>
              <w:right w:val="single" w:sz="4" w:space="0" w:color="000000"/>
            </w:tcBorders>
            <w:tcMar>
              <w:top w:w="57" w:type="dxa"/>
              <w:left w:w="57" w:type="dxa"/>
              <w:bottom w:w="57" w:type="dxa"/>
              <w:right w:w="57" w:type="dxa"/>
            </w:tcMar>
          </w:tcPr>
          <w:p w:rsidR="00E54474" w:rsidRDefault="00E54474">
            <w:pPr>
              <w:pStyle w:val="pinakaskeimeno"/>
              <w:jc w:val="right"/>
              <w:rPr>
                <w:rFonts w:ascii="Times New Roman" w:hAnsi="Times New Roman" w:cs="Times New Roman"/>
                <w:w w:val="90"/>
                <w:sz w:val="21"/>
                <w:szCs w:val="21"/>
                <w:lang w:eastAsia="en-US"/>
              </w:rPr>
            </w:pPr>
          </w:p>
          <w:p w:rsidR="00E54474" w:rsidRDefault="00E54474">
            <w:pPr>
              <w:pStyle w:val="pinakaskeimeno"/>
              <w:jc w:val="right"/>
              <w:rPr>
                <w:rFonts w:ascii="Times New Roman" w:hAnsi="Times New Roman" w:cs="Times New Roman"/>
                <w:sz w:val="21"/>
                <w:szCs w:val="21"/>
                <w:lang w:val="en-US" w:eastAsia="en-US"/>
              </w:rPr>
            </w:pPr>
            <w:r>
              <w:rPr>
                <w:rFonts w:ascii="Times New Roman" w:hAnsi="Times New Roman" w:cs="Times New Roman"/>
                <w:sz w:val="21"/>
                <w:szCs w:val="21"/>
                <w:lang w:val="en-US" w:eastAsia="en-US"/>
              </w:rPr>
              <w:t>20</w:t>
            </w:r>
          </w:p>
        </w:tc>
        <w:tc>
          <w:tcPr>
            <w:tcW w:w="872" w:type="dxa"/>
            <w:tcBorders>
              <w:top w:val="single" w:sz="4" w:space="0" w:color="000000"/>
              <w:left w:val="single" w:sz="4" w:space="0" w:color="000000"/>
              <w:bottom w:val="nil"/>
              <w:right w:val="single" w:sz="4" w:space="0" w:color="000000"/>
            </w:tcBorders>
            <w:tcMar>
              <w:top w:w="57" w:type="dxa"/>
              <w:left w:w="57" w:type="dxa"/>
              <w:bottom w:w="57" w:type="dxa"/>
              <w:right w:w="57" w:type="dxa"/>
            </w:tcMar>
          </w:tcPr>
          <w:p w:rsidR="00E54474" w:rsidRDefault="00E54474">
            <w:pPr>
              <w:pStyle w:val="pinakaskeimeno"/>
              <w:jc w:val="right"/>
              <w:rPr>
                <w:rFonts w:ascii="Times New Roman" w:hAnsi="Times New Roman" w:cs="Times New Roman"/>
                <w:w w:val="90"/>
                <w:sz w:val="21"/>
                <w:szCs w:val="21"/>
                <w:lang w:eastAsia="en-US"/>
              </w:rPr>
            </w:pPr>
          </w:p>
          <w:p w:rsidR="00E54474" w:rsidRDefault="00E54474">
            <w:pPr>
              <w:pStyle w:val="pinakaskeimeno"/>
              <w:jc w:val="right"/>
              <w:rPr>
                <w:rFonts w:ascii="Times New Roman" w:hAnsi="Times New Roman" w:cs="Times New Roman"/>
                <w:sz w:val="21"/>
                <w:szCs w:val="21"/>
                <w:lang w:val="en-US" w:eastAsia="en-US"/>
              </w:rPr>
            </w:pPr>
            <w:r>
              <w:rPr>
                <w:rFonts w:ascii="Times New Roman" w:hAnsi="Times New Roman" w:cs="Times New Roman"/>
                <w:sz w:val="21"/>
                <w:szCs w:val="21"/>
                <w:lang w:val="en-US" w:eastAsia="en-US"/>
              </w:rPr>
              <w:t>2.000</w:t>
            </w:r>
          </w:p>
        </w:tc>
      </w:tr>
      <w:tr w:rsidR="00E54474" w:rsidTr="00E54474">
        <w:trPr>
          <w:trHeight w:hRule="exact" w:val="635"/>
        </w:trPr>
        <w:tc>
          <w:tcPr>
            <w:tcW w:w="42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w w:val="90"/>
                <w:sz w:val="21"/>
                <w:szCs w:val="21"/>
                <w:lang w:eastAsia="en-US"/>
              </w:rPr>
              <w:t>Ιαν.</w:t>
            </w:r>
          </w:p>
        </w:tc>
        <w:tc>
          <w:tcPr>
            <w:tcW w:w="36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E54474" w:rsidRDefault="00E54474">
            <w:pPr>
              <w:pStyle w:val="pinakaskeimeno"/>
              <w:jc w:val="center"/>
              <w:rPr>
                <w:rFonts w:ascii="Times New Roman" w:hAnsi="Times New Roman" w:cs="Times New Roman"/>
                <w:sz w:val="21"/>
                <w:szCs w:val="21"/>
                <w:lang w:eastAsia="en-US"/>
              </w:rPr>
            </w:pPr>
            <w:r>
              <w:rPr>
                <w:rFonts w:ascii="Times New Roman" w:hAnsi="Times New Roman" w:cs="Times New Roman"/>
                <w:w w:val="90"/>
                <w:sz w:val="21"/>
                <w:szCs w:val="21"/>
                <w:lang w:eastAsia="en-US"/>
              </w:rPr>
              <w:t>30</w:t>
            </w:r>
          </w:p>
        </w:tc>
        <w:tc>
          <w:tcPr>
            <w:tcW w:w="192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E54474" w:rsidRDefault="00E54474">
            <w:pPr>
              <w:pStyle w:val="pinakaskeimeno"/>
              <w:rPr>
                <w:rFonts w:ascii="Times New Roman" w:hAnsi="Times New Roman" w:cs="Times New Roman"/>
                <w:sz w:val="21"/>
                <w:szCs w:val="21"/>
                <w:lang w:eastAsia="en-US"/>
              </w:rPr>
            </w:pPr>
            <w:r>
              <w:rPr>
                <w:rFonts w:ascii="Times New Roman" w:hAnsi="Times New Roman" w:cs="Times New Roman"/>
                <w:w w:val="90"/>
                <w:sz w:val="21"/>
                <w:szCs w:val="21"/>
                <w:lang w:eastAsia="en-US"/>
              </w:rPr>
              <w:t>Αγορά</w:t>
            </w:r>
          </w:p>
        </w:tc>
        <w:tc>
          <w:tcPr>
            <w:tcW w:w="74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E54474" w:rsidRDefault="00E54474">
            <w:pPr>
              <w:pStyle w:val="pinakaskeimeno"/>
              <w:jc w:val="right"/>
              <w:rPr>
                <w:rFonts w:ascii="Times New Roman" w:hAnsi="Times New Roman" w:cs="Times New Roman"/>
                <w:sz w:val="21"/>
                <w:szCs w:val="21"/>
                <w:lang w:eastAsia="en-US"/>
              </w:rPr>
            </w:pPr>
            <w:r>
              <w:rPr>
                <w:rFonts w:ascii="Times New Roman" w:hAnsi="Times New Roman" w:cs="Times New Roman"/>
                <w:w w:val="90"/>
                <w:sz w:val="21"/>
                <w:szCs w:val="21"/>
                <w:lang w:eastAsia="en-US"/>
              </w:rPr>
              <w:t>300</w:t>
            </w:r>
          </w:p>
        </w:tc>
        <w:tc>
          <w:tcPr>
            <w:tcW w:w="57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E54474" w:rsidRDefault="00E54474">
            <w:pPr>
              <w:pStyle w:val="pinakaskeimeno"/>
              <w:jc w:val="right"/>
              <w:rPr>
                <w:rFonts w:ascii="Times New Roman" w:hAnsi="Times New Roman" w:cs="Times New Roman"/>
                <w:sz w:val="21"/>
                <w:szCs w:val="21"/>
                <w:lang w:eastAsia="en-US"/>
              </w:rPr>
            </w:pPr>
            <w:r>
              <w:rPr>
                <w:rFonts w:ascii="Times New Roman" w:hAnsi="Times New Roman" w:cs="Times New Roman"/>
                <w:w w:val="90"/>
                <w:sz w:val="21"/>
                <w:szCs w:val="21"/>
                <w:lang w:eastAsia="en-US"/>
              </w:rPr>
              <w:t>25</w:t>
            </w:r>
          </w:p>
        </w:tc>
        <w:tc>
          <w:tcPr>
            <w:tcW w:w="8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E54474" w:rsidRDefault="00E54474">
            <w:pPr>
              <w:pStyle w:val="pinakaskeimeno"/>
              <w:jc w:val="right"/>
              <w:rPr>
                <w:rFonts w:ascii="Times New Roman" w:hAnsi="Times New Roman" w:cs="Times New Roman"/>
                <w:sz w:val="21"/>
                <w:szCs w:val="21"/>
                <w:lang w:eastAsia="en-US"/>
              </w:rPr>
            </w:pPr>
            <w:r>
              <w:rPr>
                <w:rFonts w:ascii="Times New Roman" w:hAnsi="Times New Roman" w:cs="Times New Roman"/>
                <w:w w:val="90"/>
                <w:sz w:val="21"/>
                <w:szCs w:val="21"/>
                <w:lang w:eastAsia="en-US"/>
              </w:rPr>
              <w:t>7.500</w:t>
            </w:r>
          </w:p>
        </w:tc>
        <w:tc>
          <w:tcPr>
            <w:tcW w:w="77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E54474" w:rsidRDefault="00E54474">
            <w:pPr>
              <w:pStyle w:val="NoParagraphStyle"/>
              <w:spacing w:line="240" w:lineRule="auto"/>
              <w:jc w:val="right"/>
              <w:rPr>
                <w:rFonts w:ascii="Times New Roman" w:hAnsi="Times New Roman" w:cs="Times New Roman"/>
                <w:color w:val="auto"/>
                <w:sz w:val="21"/>
                <w:szCs w:val="21"/>
                <w:lang w:eastAsia="en-US"/>
              </w:rPr>
            </w:pPr>
          </w:p>
        </w:tc>
        <w:tc>
          <w:tcPr>
            <w:tcW w:w="62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E54474" w:rsidRDefault="00E54474">
            <w:pPr>
              <w:pStyle w:val="NoParagraphStyle"/>
              <w:spacing w:line="240" w:lineRule="auto"/>
              <w:jc w:val="right"/>
              <w:rPr>
                <w:rFonts w:ascii="Times New Roman" w:hAnsi="Times New Roman" w:cs="Times New Roman"/>
                <w:color w:val="auto"/>
                <w:sz w:val="21"/>
                <w:szCs w:val="21"/>
                <w:lang w:eastAsia="en-US"/>
              </w:rPr>
            </w:pPr>
          </w:p>
        </w:tc>
        <w:tc>
          <w:tcPr>
            <w:tcW w:w="78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E54474" w:rsidRDefault="00E54474">
            <w:pPr>
              <w:pStyle w:val="NoParagraphStyle"/>
              <w:spacing w:line="240" w:lineRule="auto"/>
              <w:jc w:val="right"/>
              <w:rPr>
                <w:rFonts w:ascii="Times New Roman" w:hAnsi="Times New Roman" w:cs="Times New Roman"/>
                <w:color w:val="auto"/>
                <w:sz w:val="21"/>
                <w:szCs w:val="21"/>
                <w:lang w:eastAsia="en-US"/>
              </w:rPr>
            </w:pPr>
          </w:p>
        </w:tc>
        <w:tc>
          <w:tcPr>
            <w:tcW w:w="723" w:type="dxa"/>
            <w:tcBorders>
              <w:top w:val="nil"/>
              <w:left w:val="single" w:sz="4" w:space="0" w:color="000000"/>
              <w:bottom w:val="single" w:sz="4" w:space="0" w:color="000000"/>
              <w:right w:val="single" w:sz="4" w:space="0" w:color="000000"/>
            </w:tcBorders>
            <w:tcMar>
              <w:top w:w="57" w:type="dxa"/>
              <w:left w:w="57" w:type="dxa"/>
              <w:bottom w:w="57" w:type="dxa"/>
              <w:right w:w="57" w:type="dxa"/>
            </w:tcMar>
            <w:hideMark/>
          </w:tcPr>
          <w:p w:rsidR="00E54474" w:rsidRDefault="00E54474">
            <w:pPr>
              <w:pStyle w:val="pinakaskeimeno"/>
              <w:jc w:val="right"/>
              <w:rPr>
                <w:rFonts w:ascii="Times New Roman" w:hAnsi="Times New Roman" w:cs="Times New Roman"/>
                <w:w w:val="90"/>
                <w:sz w:val="21"/>
                <w:szCs w:val="21"/>
                <w:lang w:eastAsia="en-US"/>
              </w:rPr>
            </w:pPr>
            <w:r>
              <w:rPr>
                <w:rStyle w:val="monigrammi"/>
                <w:rFonts w:ascii="Times New Roman" w:hAnsi="Times New Roman" w:cs="Times New Roman"/>
                <w:w w:val="90"/>
                <w:sz w:val="21"/>
                <w:szCs w:val="21"/>
                <w:lang w:eastAsia="en-US"/>
              </w:rPr>
              <w:t>300</w:t>
            </w:r>
          </w:p>
          <w:p w:rsidR="00E54474" w:rsidRDefault="00E54474">
            <w:pPr>
              <w:pStyle w:val="pinakaskeimeno"/>
              <w:jc w:val="right"/>
              <w:rPr>
                <w:rFonts w:ascii="Times New Roman" w:hAnsi="Times New Roman" w:cs="Times New Roman"/>
                <w:sz w:val="21"/>
                <w:szCs w:val="21"/>
                <w:lang w:eastAsia="en-US"/>
              </w:rPr>
            </w:pPr>
            <w:r>
              <w:rPr>
                <w:rFonts w:ascii="Times New Roman" w:hAnsi="Times New Roman" w:cs="Times New Roman"/>
                <w:w w:val="90"/>
                <w:sz w:val="21"/>
                <w:szCs w:val="21"/>
                <w:lang w:eastAsia="en-US"/>
              </w:rPr>
              <w:t>400</w:t>
            </w:r>
          </w:p>
        </w:tc>
        <w:tc>
          <w:tcPr>
            <w:tcW w:w="581" w:type="dxa"/>
            <w:tcBorders>
              <w:top w:val="nil"/>
              <w:left w:val="single" w:sz="4" w:space="0" w:color="000000"/>
              <w:bottom w:val="single" w:sz="4" w:space="0" w:color="000000"/>
              <w:right w:val="single" w:sz="4" w:space="0" w:color="000000"/>
            </w:tcBorders>
            <w:tcMar>
              <w:top w:w="57" w:type="dxa"/>
              <w:left w:w="57" w:type="dxa"/>
              <w:bottom w:w="57" w:type="dxa"/>
              <w:right w:w="57" w:type="dxa"/>
            </w:tcMar>
            <w:hideMark/>
          </w:tcPr>
          <w:p w:rsidR="00E54474" w:rsidRDefault="00E54474">
            <w:pPr>
              <w:pStyle w:val="pinakaskeimeno"/>
              <w:jc w:val="right"/>
              <w:rPr>
                <w:rFonts w:ascii="Times New Roman" w:hAnsi="Times New Roman" w:cs="Times New Roman"/>
                <w:sz w:val="21"/>
                <w:szCs w:val="21"/>
                <w:lang w:eastAsia="en-US"/>
              </w:rPr>
            </w:pPr>
            <w:r>
              <w:rPr>
                <w:rFonts w:ascii="Times New Roman" w:hAnsi="Times New Roman" w:cs="Times New Roman"/>
                <w:w w:val="90"/>
                <w:sz w:val="21"/>
                <w:szCs w:val="21"/>
                <w:lang w:eastAsia="en-US"/>
              </w:rPr>
              <w:t>25</w:t>
            </w:r>
          </w:p>
        </w:tc>
        <w:tc>
          <w:tcPr>
            <w:tcW w:w="872" w:type="dxa"/>
            <w:tcBorders>
              <w:top w:val="nil"/>
              <w:left w:val="single" w:sz="4" w:space="0" w:color="000000"/>
              <w:bottom w:val="single" w:sz="4" w:space="0" w:color="000000"/>
              <w:right w:val="single" w:sz="4" w:space="0" w:color="000000"/>
            </w:tcBorders>
            <w:tcMar>
              <w:top w:w="57" w:type="dxa"/>
              <w:left w:w="57" w:type="dxa"/>
              <w:bottom w:w="57" w:type="dxa"/>
              <w:right w:w="57" w:type="dxa"/>
            </w:tcMar>
            <w:hideMark/>
          </w:tcPr>
          <w:p w:rsidR="00E54474" w:rsidRDefault="00E54474">
            <w:pPr>
              <w:pStyle w:val="pinakaskeimeno"/>
              <w:jc w:val="right"/>
              <w:rPr>
                <w:rFonts w:ascii="Times New Roman" w:hAnsi="Times New Roman" w:cs="Times New Roman"/>
                <w:w w:val="90"/>
                <w:sz w:val="21"/>
                <w:szCs w:val="21"/>
                <w:lang w:eastAsia="en-US"/>
              </w:rPr>
            </w:pPr>
            <w:r>
              <w:rPr>
                <w:rStyle w:val="monigrammi"/>
                <w:rFonts w:ascii="Times New Roman" w:hAnsi="Times New Roman" w:cs="Times New Roman"/>
                <w:w w:val="90"/>
                <w:sz w:val="21"/>
                <w:szCs w:val="21"/>
                <w:lang w:eastAsia="en-US"/>
              </w:rPr>
              <w:t>7.500</w:t>
            </w:r>
          </w:p>
          <w:p w:rsidR="00E54474" w:rsidRDefault="00E54474">
            <w:pPr>
              <w:pStyle w:val="pinakaskeimeno"/>
              <w:jc w:val="right"/>
              <w:rPr>
                <w:rFonts w:ascii="Times New Roman" w:hAnsi="Times New Roman" w:cs="Times New Roman"/>
                <w:sz w:val="21"/>
                <w:szCs w:val="21"/>
                <w:lang w:eastAsia="en-US"/>
              </w:rPr>
            </w:pPr>
            <w:r>
              <w:rPr>
                <w:rFonts w:ascii="Times New Roman" w:hAnsi="Times New Roman" w:cs="Times New Roman"/>
                <w:w w:val="90"/>
                <w:sz w:val="21"/>
                <w:szCs w:val="21"/>
                <w:lang w:eastAsia="en-US"/>
              </w:rPr>
              <w:t>9.</w:t>
            </w:r>
            <w:r>
              <w:rPr>
                <w:rFonts w:ascii="Times New Roman" w:hAnsi="Times New Roman" w:cs="Times New Roman"/>
                <w:w w:val="90"/>
                <w:sz w:val="21"/>
                <w:szCs w:val="21"/>
                <w:lang w:val="en-US" w:eastAsia="en-US"/>
              </w:rPr>
              <w:t>5</w:t>
            </w:r>
            <w:r>
              <w:rPr>
                <w:rFonts w:ascii="Times New Roman" w:hAnsi="Times New Roman" w:cs="Times New Roman"/>
                <w:w w:val="90"/>
                <w:sz w:val="21"/>
                <w:szCs w:val="21"/>
                <w:lang w:eastAsia="en-US"/>
              </w:rPr>
              <w:t>00</w:t>
            </w:r>
          </w:p>
        </w:tc>
      </w:tr>
    </w:tbl>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p>
    <w:p w:rsidR="00E54474" w:rsidRDefault="00E54474" w:rsidP="00E54474">
      <w:pPr>
        <w:tabs>
          <w:tab w:val="left" w:pos="5460"/>
        </w:tabs>
        <w:autoSpaceDE w:val="0"/>
        <w:autoSpaceDN w:val="0"/>
        <w:adjustRightInd w:val="0"/>
        <w:spacing w:after="0" w:line="280" w:lineRule="atLeast"/>
        <w:ind w:left="-851"/>
        <w:textAlignment w:val="baseline"/>
        <w:rPr>
          <w:b/>
        </w:rPr>
      </w:pPr>
      <w:r>
        <w:rPr>
          <w:b/>
        </w:rPr>
        <w:t>β) επιμέτρηση (αποτίμηση) των αποθεμάτων λήξεως και προσδιορισμός του κόστους πωληθέντων</w:t>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sz w:val="21"/>
          <w:szCs w:val="21"/>
        </w:rPr>
        <w:t xml:space="preserve">    Με τη μέθοδο του μέσου σταθμικού, επειδή η καθαρή ρευστοποιήσιμη αξία των €17/μονάδα (€19-€2) είναι μικρότερη της τιμής κτήσεως των €20, όπως πιο πάνω προσδιορίστηκε, η αποτίμηση θα γίνει στη χαμηλότερη μεταξύ των δυο τιμή, οπότε τα τελικά αποθέματα θα εμφανιστούν στον ισολογισμό: 400μονάδες χ €17/μονάδα = €6.800. Επομένως, θα εγγραφεί ζημία απομείωσης €1.200 (€8.000-€6.800) με μείωση του τελικού αποθέματος και αύξηση του κόστους των πωλήσεων. </w:t>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sz w:val="21"/>
          <w:szCs w:val="21"/>
        </w:rPr>
        <w:t xml:space="preserve">    Και με τη μέθοδο </w:t>
      </w:r>
      <w:r>
        <w:rPr>
          <w:sz w:val="21"/>
          <w:szCs w:val="21"/>
          <w:lang w:val="en-US"/>
        </w:rPr>
        <w:t>F</w:t>
      </w:r>
      <w:r>
        <w:rPr>
          <w:sz w:val="21"/>
          <w:szCs w:val="21"/>
        </w:rPr>
        <w:t>.</w:t>
      </w:r>
      <w:r>
        <w:rPr>
          <w:sz w:val="21"/>
          <w:szCs w:val="21"/>
          <w:lang w:val="en-US"/>
        </w:rPr>
        <w:t>I</w:t>
      </w:r>
      <w:r>
        <w:rPr>
          <w:sz w:val="21"/>
          <w:szCs w:val="21"/>
        </w:rPr>
        <w:t>.</w:t>
      </w:r>
      <w:r>
        <w:rPr>
          <w:sz w:val="21"/>
          <w:szCs w:val="21"/>
          <w:lang w:val="en-US"/>
        </w:rPr>
        <w:t>F</w:t>
      </w:r>
      <w:r>
        <w:rPr>
          <w:sz w:val="21"/>
          <w:szCs w:val="21"/>
        </w:rPr>
        <w:t>.</w:t>
      </w:r>
      <w:r>
        <w:rPr>
          <w:sz w:val="21"/>
          <w:szCs w:val="21"/>
          <w:lang w:val="en-US"/>
        </w:rPr>
        <w:t>O</w:t>
      </w:r>
      <w:r>
        <w:rPr>
          <w:sz w:val="21"/>
          <w:szCs w:val="21"/>
        </w:rPr>
        <w:t>., επειδή η καθαρή ρευστοποιήσιμη αξία των €17/μονάδα (€19-€2) είναι μικρότερη της τιμής κτήσεως των €23,75/μονάδα (€9.500/400μονάδες) όπως πιο πάνω προσδιορίστηκε, η αποτίμηση θα γίνει στη χαμηλότερη μεταξύ των δυο τιμή, οπότε τα τελικά αποθέματα θα εμφανιστούν στον ισολογισμό: 400μονάδες χ €17/μονάδα = €6.800. Επομένως, θα εγγραφεί ζημία απομείωσης €2.700 (€9.500-€6.800) με μείωση του τελικού αποθέματος και αύξηση του κόστους των πωλήσεων.</w:t>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sz w:val="21"/>
          <w:szCs w:val="21"/>
        </w:rPr>
        <w:t xml:space="preserve"> </w:t>
      </w:r>
    </w:p>
    <w:p w:rsidR="00E54474" w:rsidRDefault="00E54474" w:rsidP="00E54474">
      <w:pPr>
        <w:pStyle w:val="esoxes"/>
        <w:ind w:left="-851" w:firstLine="0"/>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γ)</w:t>
      </w:r>
      <w:r>
        <w:rPr>
          <w:rFonts w:ascii="Times New Roman" w:eastAsia="Times New Roman" w:hAnsi="Times New Roman" w:cs="Times New Roman"/>
          <w:color w:val="auto"/>
          <w:sz w:val="24"/>
          <w:szCs w:val="24"/>
        </w:rPr>
        <w:t xml:space="preserve"> </w:t>
      </w:r>
      <w:r>
        <w:rPr>
          <w:rFonts w:ascii="Times New Roman" w:eastAsia="Times New Roman" w:hAnsi="Times New Roman" w:cs="Times New Roman"/>
          <w:b/>
          <w:color w:val="auto"/>
          <w:sz w:val="24"/>
          <w:szCs w:val="24"/>
        </w:rPr>
        <w:t>Σχολιασμός (κριτική) του αποτελέσματος από τη χρήση των δυο μεθόδων αποτίμησης</w:t>
      </w:r>
    </w:p>
    <w:p w:rsidR="00E54474" w:rsidRDefault="00E54474" w:rsidP="00E54474">
      <w:pPr>
        <w:pStyle w:val="esoxes"/>
        <w:ind w:left="-851" w:firstLine="0"/>
        <w:rPr>
          <w:rFonts w:ascii="Times New Roman" w:eastAsia="Times New Roman" w:hAnsi="Times New Roman" w:cs="Times New Roman"/>
          <w:color w:val="auto"/>
          <w:sz w:val="21"/>
          <w:szCs w:val="21"/>
        </w:rPr>
      </w:pPr>
    </w:p>
    <w:p w:rsidR="00E54474" w:rsidRDefault="00E54474" w:rsidP="00E54474">
      <w:pPr>
        <w:pStyle w:val="esoxes"/>
        <w:ind w:left="-851" w:firstLine="0"/>
        <w:rPr>
          <w:rFonts w:ascii="Times New Roman" w:eastAsia="Times New Roman" w:hAnsi="Times New Roman" w:cs="Times New Roman"/>
          <w:color w:val="auto"/>
          <w:sz w:val="21"/>
          <w:szCs w:val="21"/>
        </w:rPr>
      </w:pPr>
      <w:r>
        <w:rPr>
          <w:rFonts w:ascii="Times New Roman" w:eastAsia="Times New Roman" w:hAnsi="Times New Roman" w:cs="Times New Roman"/>
          <w:b/>
          <w:color w:val="auto"/>
          <w:sz w:val="21"/>
          <w:szCs w:val="21"/>
        </w:rPr>
        <w:t>1)</w:t>
      </w:r>
      <w:r>
        <w:rPr>
          <w:rFonts w:ascii="Times New Roman" w:eastAsia="Times New Roman" w:hAnsi="Times New Roman" w:cs="Times New Roman"/>
          <w:color w:val="auto"/>
          <w:sz w:val="21"/>
          <w:szCs w:val="21"/>
        </w:rPr>
        <w:t xml:space="preserve"> Μέθοδος του μέσου σταθμικού κόστους (</w:t>
      </w:r>
      <w:r>
        <w:rPr>
          <w:rFonts w:ascii="Times New Roman" w:eastAsia="Times New Roman" w:hAnsi="Times New Roman" w:cs="Times New Roman"/>
          <w:color w:val="auto"/>
          <w:sz w:val="21"/>
          <w:szCs w:val="21"/>
          <w:lang w:val="en-US"/>
        </w:rPr>
        <w:t>Weighted</w:t>
      </w:r>
      <w:r w:rsidRPr="00E54474">
        <w:rPr>
          <w:rFonts w:ascii="Times New Roman" w:eastAsia="Times New Roman" w:hAnsi="Times New Roman" w:cs="Times New Roman"/>
          <w:color w:val="auto"/>
          <w:sz w:val="21"/>
          <w:szCs w:val="21"/>
        </w:rPr>
        <w:t xml:space="preserve"> </w:t>
      </w:r>
      <w:r>
        <w:rPr>
          <w:rFonts w:ascii="Times New Roman" w:eastAsia="Times New Roman" w:hAnsi="Times New Roman" w:cs="Times New Roman"/>
          <w:color w:val="auto"/>
          <w:sz w:val="21"/>
          <w:szCs w:val="21"/>
          <w:lang w:val="en-US"/>
        </w:rPr>
        <w:t>average</w:t>
      </w:r>
      <w:r>
        <w:rPr>
          <w:rFonts w:ascii="Times New Roman" w:eastAsia="Times New Roman" w:hAnsi="Times New Roman" w:cs="Times New Roman"/>
          <w:color w:val="auto"/>
          <w:sz w:val="21"/>
          <w:szCs w:val="21"/>
        </w:rPr>
        <w:t>)</w:t>
      </w:r>
    </w:p>
    <w:p w:rsidR="00E54474" w:rsidRDefault="00E54474" w:rsidP="00E54474">
      <w:pPr>
        <w:pStyle w:val="keimeno"/>
        <w:ind w:left="-851" w:firstLine="0"/>
        <w:rPr>
          <w:rFonts w:ascii="Times New Roman" w:eastAsia="Times New Roman" w:hAnsi="Times New Roman" w:cs="Times New Roman"/>
          <w:color w:val="auto"/>
          <w:sz w:val="21"/>
          <w:szCs w:val="21"/>
        </w:rPr>
      </w:pPr>
      <w:r>
        <w:rPr>
          <w:rFonts w:ascii="Times New Roman" w:eastAsia="Times New Roman" w:hAnsi="Times New Roman" w:cs="Times New Roman"/>
          <w:color w:val="auto"/>
          <w:sz w:val="21"/>
          <w:szCs w:val="21"/>
        </w:rPr>
        <w:t xml:space="preserve">    Χρησιμοποιείται ευρύτατα στην πράξη, γιατί είναι εύκολης εφαρμογής, προσδιορίζει το κόστος μονάδας με μια αντικειμενική βάση, είναι απαλλαγμένη από περιθώρια υποκειμενικών χειρισμών και ελαχιστοποιεί τις επιδράσεις των ακραίων τιμών στην αγορά. Σε μια αγορά που οι τιμές παρουσιάζουν ανοδική τάση το μέσο κόστος είναι χαμηλότερο από το τρέχον κόστος, ενώ σε μια αγορά που οι τιμές παρουσιάζουν πτωτική τάση το μέσο κόστος είναι υψηλότερο από το τρέχον κόστος. Γι’ αυτό η μέθοδος αυτή κατακρίνεται, αφού στα τρέχοντα έσοδα πωλήσεων δεν αντιπαραθέτει το τρέχον κόστος κτήσεως των πωλημένων.</w:t>
      </w:r>
    </w:p>
    <w:p w:rsidR="00E54474" w:rsidRDefault="00E54474" w:rsidP="00E54474">
      <w:pPr>
        <w:pStyle w:val="keimeno"/>
        <w:ind w:left="-851" w:firstLine="0"/>
        <w:rPr>
          <w:rFonts w:ascii="Times New Roman" w:eastAsia="Times New Roman" w:hAnsi="Times New Roman" w:cs="Times New Roman"/>
          <w:color w:val="auto"/>
          <w:sz w:val="21"/>
          <w:szCs w:val="21"/>
        </w:rPr>
      </w:pPr>
      <w:r>
        <w:rPr>
          <w:rFonts w:ascii="Times New Roman" w:eastAsia="Times New Roman" w:hAnsi="Times New Roman" w:cs="Times New Roman"/>
          <w:color w:val="auto"/>
          <w:sz w:val="21"/>
          <w:szCs w:val="21"/>
        </w:rPr>
        <w:t xml:space="preserve">    Η εφαρμογή της μεθόδου ενδείκνυται στις περιπτώσεις που η επιχείρηση εφαρμόζει το σύστημα της περιοδικής απογραφής των αποθεμάτων, οπότε στο τέλος της περιόδου που προσδιορίζεται το μέσο σταθμικό κόστος απογράφονται τα μένοντα και προσδιορίζεται η αξία αυτών και το κόστος πωλημένων. Αν η επιχείρηση εφαρμόζει το σύστημα της διαρκούς απογραφής, επειδή το μέσο σταθμικό κόστος δεν είναι δυνατό να υπολογιστεί πριν από την τελευταία αγορά της περιόδου, οι εξαγωγές (αναλώσεις-πωλήσεις) και τα υπόλοιπα των αποθεμάτων παρακολουθούνται στη διάρκεια της περιόδου μόνο κατά ποσότητα.</w:t>
      </w:r>
    </w:p>
    <w:p w:rsidR="00E54474" w:rsidRDefault="00E54474" w:rsidP="00E54474">
      <w:pPr>
        <w:pStyle w:val="keimeno"/>
        <w:ind w:left="-851" w:firstLine="0"/>
        <w:rPr>
          <w:rFonts w:ascii="Times New Roman" w:eastAsia="Times New Roman" w:hAnsi="Times New Roman" w:cs="Times New Roman"/>
          <w:color w:val="auto"/>
          <w:sz w:val="21"/>
          <w:szCs w:val="21"/>
        </w:rPr>
      </w:pPr>
      <w:r>
        <w:rPr>
          <w:rFonts w:ascii="Times New Roman" w:eastAsia="Times New Roman" w:hAnsi="Times New Roman" w:cs="Times New Roman"/>
          <w:color w:val="auto"/>
          <w:sz w:val="21"/>
          <w:szCs w:val="21"/>
        </w:rPr>
        <w:t xml:space="preserve">Η περίοδος σταθμίσεως είναι δυνατό να είναι: (α) ετήσια (ολόκληρη η χρήση), οπότε μιλάμε περί μέσου ετήσιου σταθμικού κόστους, ή (β) μικρότερη του έτους, συνήθως μηνιαία αλλά και τριμηνιαία, οπότε μιλάμε περί μέσου μηνιαίου ή τριμηνιαίου σταθμικού κόστους. Το ετήσιο μέσο σταθμικό κόστος προσδιορίζεται στο τέλος της χρήσεως και συνεπώς, αν η επιχείρηση εφαρμόζει το σύστημα της διαρκούς απογραφής, δεν είναι σε θέση στη διάρκεια της χρήσης να προσδιορίζει το κόστος των αναλώσεων ή των πωλήσεων. Ως εκ τούτου, ρεαλιστικότερη στην εφαρμογή της είναι η μέθοδος του </w:t>
      </w:r>
      <w:r>
        <w:rPr>
          <w:rFonts w:ascii="Times New Roman" w:eastAsia="Times New Roman" w:hAnsi="Times New Roman" w:cs="Times New Roman"/>
          <w:b/>
          <w:color w:val="auto"/>
          <w:sz w:val="21"/>
          <w:szCs w:val="21"/>
        </w:rPr>
        <w:t>κυκλοφοριακού μέσου όρου ή των διαδοχικών υπολοίπων (</w:t>
      </w:r>
      <w:r>
        <w:rPr>
          <w:rFonts w:ascii="Times New Roman" w:eastAsia="Times New Roman" w:hAnsi="Times New Roman" w:cs="Times New Roman"/>
          <w:b/>
          <w:color w:val="auto"/>
          <w:sz w:val="21"/>
          <w:szCs w:val="21"/>
          <w:lang w:val="en-US"/>
        </w:rPr>
        <w:t>Moving</w:t>
      </w:r>
      <w:r w:rsidRPr="00E54474">
        <w:rPr>
          <w:rFonts w:ascii="Times New Roman" w:eastAsia="Times New Roman" w:hAnsi="Times New Roman" w:cs="Times New Roman"/>
          <w:b/>
          <w:color w:val="auto"/>
          <w:sz w:val="21"/>
          <w:szCs w:val="21"/>
        </w:rPr>
        <w:t xml:space="preserve"> </w:t>
      </w:r>
      <w:r>
        <w:rPr>
          <w:rFonts w:ascii="Times New Roman" w:eastAsia="Times New Roman" w:hAnsi="Times New Roman" w:cs="Times New Roman"/>
          <w:b/>
          <w:color w:val="auto"/>
          <w:sz w:val="21"/>
          <w:szCs w:val="21"/>
          <w:lang w:val="en-US"/>
        </w:rPr>
        <w:t>average</w:t>
      </w:r>
      <w:r w:rsidRPr="00E54474">
        <w:rPr>
          <w:rFonts w:ascii="Times New Roman" w:eastAsia="Times New Roman" w:hAnsi="Times New Roman" w:cs="Times New Roman"/>
          <w:b/>
          <w:color w:val="auto"/>
          <w:sz w:val="21"/>
          <w:szCs w:val="21"/>
        </w:rPr>
        <w:t xml:space="preserve"> </w:t>
      </w:r>
      <w:r>
        <w:rPr>
          <w:rFonts w:ascii="Times New Roman" w:eastAsia="Times New Roman" w:hAnsi="Times New Roman" w:cs="Times New Roman"/>
          <w:b/>
          <w:color w:val="auto"/>
          <w:sz w:val="21"/>
          <w:szCs w:val="21"/>
          <w:lang w:val="en-US"/>
        </w:rPr>
        <w:t>cost</w:t>
      </w:r>
      <w:r>
        <w:rPr>
          <w:rFonts w:ascii="Times New Roman" w:eastAsia="Times New Roman" w:hAnsi="Times New Roman" w:cs="Times New Roman"/>
          <w:b/>
          <w:color w:val="auto"/>
          <w:sz w:val="21"/>
          <w:szCs w:val="21"/>
        </w:rPr>
        <w:t xml:space="preserve">) </w:t>
      </w:r>
      <w:r>
        <w:rPr>
          <w:rFonts w:ascii="Times New Roman" w:eastAsia="Times New Roman" w:hAnsi="Times New Roman" w:cs="Times New Roman"/>
          <w:color w:val="auto"/>
          <w:sz w:val="21"/>
          <w:szCs w:val="21"/>
        </w:rPr>
        <w:t>η οποία σαν μέσο κόστος της μονάδας μπορεί να χρησιμοποιείται εκείνο που προκύπτει μετά από κάθε αγορά αγαθών. Η προκείμενη μέθοδος είναι αντικειμενική, γιατί δεν αφήνει περιθώρια προσωπικών χειρισμών και δίνει ένα αντιπροσωπευτικό μέσο κόστος, το οποίο πλησιάζει περισσότερο στο τρέχον παρά στο μέσο σταθμικό.</w:t>
      </w:r>
    </w:p>
    <w:p w:rsidR="00E54474" w:rsidRDefault="00E54474" w:rsidP="00E54474">
      <w:pPr>
        <w:pStyle w:val="keimeno"/>
        <w:ind w:left="-851" w:firstLine="0"/>
        <w:rPr>
          <w:rFonts w:ascii="Times New Roman" w:eastAsia="Times New Roman" w:hAnsi="Times New Roman" w:cs="Times New Roman"/>
          <w:color w:val="auto"/>
          <w:sz w:val="21"/>
          <w:szCs w:val="21"/>
        </w:rPr>
      </w:pPr>
    </w:p>
    <w:p w:rsidR="00E54474" w:rsidRDefault="00E54474" w:rsidP="00E54474">
      <w:pPr>
        <w:pStyle w:val="keimeno"/>
        <w:ind w:left="-851" w:firstLine="0"/>
        <w:rPr>
          <w:rFonts w:ascii="Times New Roman" w:eastAsia="Times New Roman" w:hAnsi="Times New Roman" w:cs="Times New Roman"/>
          <w:color w:val="auto"/>
          <w:sz w:val="21"/>
          <w:szCs w:val="21"/>
        </w:rPr>
      </w:pPr>
      <w:r>
        <w:rPr>
          <w:rFonts w:ascii="Times New Roman" w:eastAsia="Times New Roman" w:hAnsi="Times New Roman" w:cs="Times New Roman"/>
          <w:b/>
          <w:color w:val="auto"/>
          <w:sz w:val="21"/>
          <w:szCs w:val="21"/>
        </w:rPr>
        <w:t>2)</w:t>
      </w:r>
      <w:r>
        <w:rPr>
          <w:rFonts w:ascii="Times New Roman" w:eastAsia="Times New Roman" w:hAnsi="Times New Roman" w:cs="Times New Roman"/>
          <w:color w:val="auto"/>
          <w:sz w:val="21"/>
          <w:szCs w:val="21"/>
        </w:rPr>
        <w:t xml:space="preserve"> Μέθοδος πρώτη εισαγωγή-πρώτη εξαγωγή (</w:t>
      </w:r>
      <w:r>
        <w:rPr>
          <w:rFonts w:ascii="Times New Roman" w:eastAsia="Times New Roman" w:hAnsi="Times New Roman" w:cs="Times New Roman"/>
          <w:color w:val="auto"/>
          <w:sz w:val="21"/>
          <w:szCs w:val="21"/>
          <w:lang w:val="en-US"/>
        </w:rPr>
        <w:t>F</w:t>
      </w:r>
      <w:r>
        <w:rPr>
          <w:rFonts w:ascii="Times New Roman" w:eastAsia="Times New Roman" w:hAnsi="Times New Roman" w:cs="Times New Roman"/>
          <w:color w:val="auto"/>
          <w:sz w:val="21"/>
          <w:szCs w:val="21"/>
        </w:rPr>
        <w:t>.</w:t>
      </w:r>
      <w:r>
        <w:rPr>
          <w:rFonts w:ascii="Times New Roman" w:eastAsia="Times New Roman" w:hAnsi="Times New Roman" w:cs="Times New Roman"/>
          <w:color w:val="auto"/>
          <w:sz w:val="21"/>
          <w:szCs w:val="21"/>
          <w:lang w:val="en-US"/>
        </w:rPr>
        <w:t>I</w:t>
      </w:r>
      <w:r>
        <w:rPr>
          <w:rFonts w:ascii="Times New Roman" w:eastAsia="Times New Roman" w:hAnsi="Times New Roman" w:cs="Times New Roman"/>
          <w:color w:val="auto"/>
          <w:sz w:val="21"/>
          <w:szCs w:val="21"/>
        </w:rPr>
        <w:t>.</w:t>
      </w:r>
      <w:r>
        <w:rPr>
          <w:rFonts w:ascii="Times New Roman" w:eastAsia="Times New Roman" w:hAnsi="Times New Roman" w:cs="Times New Roman"/>
          <w:color w:val="auto"/>
          <w:sz w:val="21"/>
          <w:szCs w:val="21"/>
          <w:lang w:val="en-US"/>
        </w:rPr>
        <w:t>F</w:t>
      </w:r>
      <w:r>
        <w:rPr>
          <w:rFonts w:ascii="Times New Roman" w:eastAsia="Times New Roman" w:hAnsi="Times New Roman" w:cs="Times New Roman"/>
          <w:color w:val="auto"/>
          <w:sz w:val="21"/>
          <w:szCs w:val="21"/>
        </w:rPr>
        <w:t>.</w:t>
      </w:r>
      <w:r>
        <w:rPr>
          <w:rFonts w:ascii="Times New Roman" w:eastAsia="Times New Roman" w:hAnsi="Times New Roman" w:cs="Times New Roman"/>
          <w:color w:val="auto"/>
          <w:sz w:val="21"/>
          <w:szCs w:val="21"/>
          <w:lang w:val="en-US"/>
        </w:rPr>
        <w:t>O</w:t>
      </w:r>
      <w:r>
        <w:rPr>
          <w:rFonts w:ascii="Times New Roman" w:eastAsia="Times New Roman" w:hAnsi="Times New Roman" w:cs="Times New Roman"/>
          <w:color w:val="auto"/>
          <w:sz w:val="21"/>
          <w:szCs w:val="21"/>
        </w:rPr>
        <w:t>.)</w:t>
      </w:r>
    </w:p>
    <w:p w:rsidR="00E54474" w:rsidRDefault="00E54474" w:rsidP="00E54474">
      <w:pPr>
        <w:pStyle w:val="keimeno"/>
        <w:ind w:left="-851" w:firstLine="0"/>
        <w:rPr>
          <w:rFonts w:ascii="Times New Roman" w:eastAsia="Times New Roman" w:hAnsi="Times New Roman" w:cs="Times New Roman"/>
          <w:color w:val="auto"/>
          <w:sz w:val="21"/>
          <w:szCs w:val="21"/>
        </w:rPr>
      </w:pPr>
      <w:r>
        <w:rPr>
          <w:rFonts w:ascii="Times New Roman" w:eastAsia="Times New Roman" w:hAnsi="Times New Roman" w:cs="Times New Roman"/>
          <w:color w:val="auto"/>
          <w:sz w:val="21"/>
          <w:szCs w:val="21"/>
        </w:rPr>
        <w:t xml:space="preserve">    Η μέθοδος αυτή βασίζεται στην εκδοχή ότι η πρώτη εισαγωγή εξάγεται πρώτη (</w:t>
      </w:r>
      <w:r>
        <w:rPr>
          <w:rFonts w:ascii="Times New Roman" w:eastAsia="Times New Roman" w:hAnsi="Times New Roman" w:cs="Times New Roman"/>
          <w:color w:val="auto"/>
          <w:sz w:val="21"/>
          <w:szCs w:val="21"/>
          <w:lang w:val="en-US"/>
        </w:rPr>
        <w:t>first</w:t>
      </w:r>
      <w:r w:rsidRPr="00E54474">
        <w:rPr>
          <w:rFonts w:ascii="Times New Roman" w:eastAsia="Times New Roman" w:hAnsi="Times New Roman" w:cs="Times New Roman"/>
          <w:color w:val="auto"/>
          <w:sz w:val="21"/>
          <w:szCs w:val="21"/>
        </w:rPr>
        <w:t xml:space="preserve"> </w:t>
      </w:r>
      <w:r>
        <w:rPr>
          <w:rFonts w:ascii="Times New Roman" w:eastAsia="Times New Roman" w:hAnsi="Times New Roman" w:cs="Times New Roman"/>
          <w:color w:val="auto"/>
          <w:sz w:val="21"/>
          <w:szCs w:val="21"/>
          <w:lang w:val="en-US"/>
        </w:rPr>
        <w:t>in</w:t>
      </w:r>
      <w:r>
        <w:rPr>
          <w:rFonts w:ascii="Times New Roman" w:eastAsia="Times New Roman" w:hAnsi="Times New Roman" w:cs="Times New Roman"/>
          <w:color w:val="auto"/>
          <w:sz w:val="21"/>
          <w:szCs w:val="21"/>
        </w:rPr>
        <w:t>-</w:t>
      </w:r>
      <w:r>
        <w:rPr>
          <w:rFonts w:ascii="Times New Roman" w:eastAsia="Times New Roman" w:hAnsi="Times New Roman" w:cs="Times New Roman"/>
          <w:color w:val="auto"/>
          <w:sz w:val="21"/>
          <w:szCs w:val="21"/>
          <w:lang w:val="en-US"/>
        </w:rPr>
        <w:t>first</w:t>
      </w:r>
      <w:r w:rsidRPr="00E54474">
        <w:rPr>
          <w:rFonts w:ascii="Times New Roman" w:eastAsia="Times New Roman" w:hAnsi="Times New Roman" w:cs="Times New Roman"/>
          <w:color w:val="auto"/>
          <w:sz w:val="21"/>
          <w:szCs w:val="21"/>
        </w:rPr>
        <w:t xml:space="preserve"> </w:t>
      </w:r>
      <w:r>
        <w:rPr>
          <w:rFonts w:ascii="Times New Roman" w:eastAsia="Times New Roman" w:hAnsi="Times New Roman" w:cs="Times New Roman"/>
          <w:color w:val="auto"/>
          <w:sz w:val="21"/>
          <w:szCs w:val="21"/>
          <w:lang w:val="en-US"/>
        </w:rPr>
        <w:t>out</w:t>
      </w:r>
      <w:r>
        <w:rPr>
          <w:rFonts w:ascii="Times New Roman" w:eastAsia="Times New Roman" w:hAnsi="Times New Roman" w:cs="Times New Roman"/>
          <w:color w:val="auto"/>
          <w:sz w:val="21"/>
          <w:szCs w:val="21"/>
        </w:rPr>
        <w:t>) και ότι τα αποθέματα τέλους χρήσεως προέρχονται από τις τελευταίες αγορές και αποτιμούνται στις τιμές που αντίστοιχα αγοράστηκαν. Η αρχή των υπολογισμών της αποτιμήσεως των αποθεμάτων γίνεται από την τελευταία αγορά. Η αποτίμηση των πωλημένων-αναλωμένων γίνεται σύμφωνα με τη σειρά εισαγωγής τους, γι αυτό και η μέθοδος λέγεται και η μέθοδος της σειράς εξαντλήσεως των αποθεμάτων.</w:t>
      </w:r>
    </w:p>
    <w:p w:rsidR="00E54474" w:rsidRDefault="00E54474" w:rsidP="00E54474">
      <w:pPr>
        <w:pStyle w:val="keimeno"/>
        <w:ind w:left="-851" w:firstLine="0"/>
        <w:rPr>
          <w:rFonts w:ascii="Times New Roman" w:eastAsia="Times New Roman" w:hAnsi="Times New Roman" w:cs="Times New Roman"/>
          <w:color w:val="auto"/>
          <w:sz w:val="21"/>
          <w:szCs w:val="21"/>
        </w:rPr>
      </w:pPr>
      <w:r>
        <w:rPr>
          <w:rFonts w:ascii="Times New Roman" w:eastAsia="Times New Roman" w:hAnsi="Times New Roman" w:cs="Times New Roman"/>
          <w:color w:val="auto"/>
          <w:sz w:val="21"/>
          <w:szCs w:val="21"/>
        </w:rPr>
        <w:t>Η παραπάνω εκδοχή της σειράς εξαντλήσεως στις περισσότερες επιχειρήσεις εναρμονίζεται με τη φυσική ροή των αποθεμάτων. Με τη μέθοδο αυτή τα αποθέματα τέλους χρήσεως αποτιμούνται σε τιμές που πλησιάζουν προς τις τρέχουσες τιμές αγοράς και συνεπώς η αξία των αποθεμάτων που εμφανίζεται στον ισολογισμό είναι ορθότερη σε σύγκριση με εκείνη που προκύπτει με την εφαρμογή άλλων. Εντούτοις, η μέθοδος παρουσιάζει βασική αδυναμία στην ορθή αντιπαράθεση των εσόδων με το κόστος των πωλήσεων, αφού στα τρέχοντα έσοδα από τις πωλήσεις δεν αντιπαραθέτει το τρέχον κόστος των πωλημένων, αλλά το κόστος κτήσεως των παλιότερων αγορών. Αυτό σημαίνει ότι σε περιόδους πληθωρισμού η μέθοδος υπερεκτιμά τα λογιστικά κέρδη σε σχέση με άλλες μεθόδους με περαιτέρω συνεπεία την πληρωμή αυξημένου φόρου εισοδήματος. Αντίθετα, σε περιόδους μειώσεως των τιμών το αποτέλεσμα υποεκτιμάται με συνέπεια και ο φόρος εισοδήματος να είναι μειωμένος.</w:t>
      </w:r>
    </w:p>
    <w:p w:rsidR="00E54474" w:rsidRDefault="00E54474" w:rsidP="00E54474">
      <w:pPr>
        <w:pStyle w:val="keimeno"/>
        <w:ind w:left="-851" w:firstLine="0"/>
        <w:rPr>
          <w:rFonts w:ascii="Times New Roman" w:eastAsia="Times New Roman" w:hAnsi="Times New Roman" w:cs="Times New Roman"/>
          <w:color w:val="auto"/>
          <w:sz w:val="21"/>
          <w:szCs w:val="21"/>
        </w:rPr>
      </w:pPr>
      <w:r>
        <w:rPr>
          <w:rFonts w:ascii="Times New Roman" w:eastAsia="Times New Roman" w:hAnsi="Times New Roman" w:cs="Times New Roman"/>
          <w:color w:val="auto"/>
          <w:sz w:val="21"/>
          <w:szCs w:val="21"/>
        </w:rPr>
        <w:t xml:space="preserve">Εκτός από το παραπάνω βασικό μειονέκτημα της μεθόδου, δηλαδή, της απομακρύνσεως του κόστους των πωλήσεων από τις τρέχουσες συνθήκες της αγοράς, η </w:t>
      </w:r>
      <w:r>
        <w:rPr>
          <w:rFonts w:ascii="Times New Roman" w:eastAsia="Times New Roman" w:hAnsi="Times New Roman" w:cs="Times New Roman"/>
          <w:color w:val="auto"/>
          <w:sz w:val="21"/>
          <w:szCs w:val="21"/>
          <w:lang w:val="en-US"/>
        </w:rPr>
        <w:t>F</w:t>
      </w:r>
      <w:r>
        <w:rPr>
          <w:rFonts w:ascii="Times New Roman" w:eastAsia="Times New Roman" w:hAnsi="Times New Roman" w:cs="Times New Roman"/>
          <w:color w:val="auto"/>
          <w:sz w:val="21"/>
          <w:szCs w:val="21"/>
        </w:rPr>
        <w:t>.</w:t>
      </w:r>
      <w:r>
        <w:rPr>
          <w:rFonts w:ascii="Times New Roman" w:eastAsia="Times New Roman" w:hAnsi="Times New Roman" w:cs="Times New Roman"/>
          <w:color w:val="auto"/>
          <w:sz w:val="21"/>
          <w:szCs w:val="21"/>
          <w:lang w:val="en-US"/>
        </w:rPr>
        <w:t>I</w:t>
      </w:r>
      <w:r>
        <w:rPr>
          <w:rFonts w:ascii="Times New Roman" w:eastAsia="Times New Roman" w:hAnsi="Times New Roman" w:cs="Times New Roman"/>
          <w:color w:val="auto"/>
          <w:sz w:val="21"/>
          <w:szCs w:val="21"/>
        </w:rPr>
        <w:t>.</w:t>
      </w:r>
      <w:r>
        <w:rPr>
          <w:rFonts w:ascii="Times New Roman" w:eastAsia="Times New Roman" w:hAnsi="Times New Roman" w:cs="Times New Roman"/>
          <w:color w:val="auto"/>
          <w:sz w:val="21"/>
          <w:szCs w:val="21"/>
          <w:lang w:val="en-US"/>
        </w:rPr>
        <w:t>F</w:t>
      </w:r>
      <w:r>
        <w:rPr>
          <w:rFonts w:ascii="Times New Roman" w:eastAsia="Times New Roman" w:hAnsi="Times New Roman" w:cs="Times New Roman"/>
          <w:color w:val="auto"/>
          <w:sz w:val="21"/>
          <w:szCs w:val="21"/>
        </w:rPr>
        <w:t>.</w:t>
      </w:r>
      <w:r>
        <w:rPr>
          <w:rFonts w:ascii="Times New Roman" w:eastAsia="Times New Roman" w:hAnsi="Times New Roman" w:cs="Times New Roman"/>
          <w:color w:val="auto"/>
          <w:sz w:val="21"/>
          <w:szCs w:val="21"/>
          <w:lang w:val="en-US"/>
        </w:rPr>
        <w:t>O</w:t>
      </w:r>
      <w:r>
        <w:rPr>
          <w:rFonts w:ascii="Times New Roman" w:eastAsia="Times New Roman" w:hAnsi="Times New Roman" w:cs="Times New Roman"/>
          <w:color w:val="auto"/>
          <w:sz w:val="21"/>
          <w:szCs w:val="21"/>
        </w:rPr>
        <w:t xml:space="preserve"> χρησιμοποιείται ευρύτατα στην κοστολόγηση των αποθεμάτων, γιατί: (α) είναι εύκολης εφαρμογής, (β) είναι εφαρμόσιμη είτε με το σύστημα της περιοδικής απογραφής είτε με το σύστημα της διαρκούς απογραφής, (γ) η ροή του κόστους συμβαδίζει με τη φυσική ροή των αποθεμάτων, (δ) είναι συστηματική και αντικειμενική, αφού δεν επηρεάζεται από υποκειμενικούς υπολογισμούς και (ε) η αξία των αποθεμάτων στον ισολογισμό προσεγγίζει το τρέχον κόστος αντικαταστάσεως.</w:t>
      </w:r>
    </w:p>
    <w:p w:rsidR="00E54474" w:rsidRDefault="00E54474" w:rsidP="00E54474">
      <w:pPr>
        <w:pStyle w:val="keimeno"/>
        <w:ind w:left="-851" w:firstLine="0"/>
        <w:rPr>
          <w:rFonts w:ascii="Times New Roman" w:eastAsia="Times New Roman" w:hAnsi="Times New Roman" w:cs="Times New Roman"/>
          <w:color w:val="auto"/>
          <w:sz w:val="21"/>
          <w:szCs w:val="21"/>
        </w:rPr>
      </w:pPr>
      <w:r>
        <w:rPr>
          <w:rFonts w:ascii="Times New Roman" w:eastAsia="Times New Roman" w:hAnsi="Times New Roman" w:cs="Times New Roman"/>
          <w:color w:val="auto"/>
          <w:sz w:val="21"/>
          <w:szCs w:val="21"/>
        </w:rPr>
        <w:t>Η μέθοδος μπορεί να εφαρμόζεται: (α) σε τρέχουσα βάση καθ’ όλη τη διάρκεια της χρήσεως (όταν υπάρχει εξαγωγή) ή (β) με το σύστημα της περιοδικής απογραφής με τα ίδια αποτελέσματα.</w:t>
      </w:r>
    </w:p>
    <w:p w:rsidR="00E54474" w:rsidRDefault="00E54474" w:rsidP="00E54474">
      <w:pPr>
        <w:pStyle w:val="esoxes"/>
        <w:ind w:left="-851" w:firstLine="0"/>
        <w:rPr>
          <w:rFonts w:ascii="Times New Roman" w:eastAsia="Times New Roman" w:hAnsi="Times New Roman" w:cs="Times New Roman"/>
          <w:color w:val="auto"/>
          <w:sz w:val="21"/>
          <w:szCs w:val="21"/>
        </w:rPr>
      </w:pPr>
    </w:p>
    <w:p w:rsidR="00E54474" w:rsidRDefault="00E54474" w:rsidP="00E54474">
      <w:pPr>
        <w:pStyle w:val="esoxes"/>
        <w:ind w:left="-851" w:firstLine="0"/>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δ) Επίδραση της μεθόδου επιμέτρησης των αποθεμάτων στο φόρο εισοδήματος</w:t>
      </w:r>
    </w:p>
    <w:p w:rsidR="00E54474" w:rsidRDefault="00E54474" w:rsidP="00E54474">
      <w:pPr>
        <w:pStyle w:val="esoxes"/>
        <w:ind w:left="-851" w:firstLine="0"/>
        <w:rPr>
          <w:rFonts w:ascii="Times New Roman" w:eastAsia="Times New Roman" w:hAnsi="Times New Roman" w:cs="Times New Roman"/>
          <w:color w:val="auto"/>
          <w:sz w:val="21"/>
          <w:szCs w:val="21"/>
        </w:rPr>
      </w:pPr>
      <w:r>
        <w:rPr>
          <w:rFonts w:ascii="Times New Roman" w:eastAsia="Times New Roman" w:hAnsi="Times New Roman" w:cs="Times New Roman"/>
          <w:color w:val="auto"/>
          <w:sz w:val="21"/>
          <w:szCs w:val="21"/>
        </w:rPr>
        <w:t xml:space="preserve">  </w:t>
      </w:r>
    </w:p>
    <w:p w:rsidR="00E54474" w:rsidRDefault="00E54474" w:rsidP="00E54474">
      <w:pPr>
        <w:pStyle w:val="esoxes"/>
        <w:ind w:left="-851" w:firstLine="0"/>
        <w:rPr>
          <w:rFonts w:ascii="Times New Roman" w:eastAsia="Times New Roman" w:hAnsi="Times New Roman" w:cs="Times New Roman"/>
          <w:color w:val="auto"/>
          <w:sz w:val="21"/>
          <w:szCs w:val="21"/>
        </w:rPr>
      </w:pPr>
      <w:r>
        <w:rPr>
          <w:rFonts w:ascii="Times New Roman" w:eastAsia="Times New Roman" w:hAnsi="Times New Roman" w:cs="Times New Roman"/>
          <w:color w:val="auto"/>
          <w:sz w:val="21"/>
          <w:szCs w:val="21"/>
        </w:rPr>
        <w:t xml:space="preserve">    Η εφαρμογή της μεθόδου του μέσου σταθμικού είναι πλεονεκτικότερη από πλευράς οφειλόμενου φόρου εισοδήματος της χρήσεως. Με τη μέθοδο αυτή το κόστος πωληθέντων των αποθεμάτων σταθμίζεται ορθότερα με το τρέχον κόστος αντικαταστάσεώς τους, αφού τα πωληθέντα αντανακλούν τον μέσο όρο των αγορών της περιόδου και δεν επηρεάζονται από ακραίες τιμές που μπορούν να επικρατούν σε κάποια χρονική στιγμή στην αγορά. Η μέθοδος αυτή, σε περιόδους πληθωρισμού, οδηγεί στον περιορισμό των κερδών που προσδιορίζονται λογιστικά και στον περιορισμό της οφειλής σε φόρο εισοδήματος.</w:t>
      </w:r>
    </w:p>
    <w:p w:rsidR="00E54474" w:rsidRDefault="00E54474" w:rsidP="00E54474">
      <w:pPr>
        <w:pStyle w:val="esoxes"/>
        <w:ind w:left="-851" w:firstLine="0"/>
        <w:rPr>
          <w:rFonts w:ascii="Times New Roman" w:eastAsia="Times New Roman" w:hAnsi="Times New Roman" w:cs="Times New Roman"/>
          <w:color w:val="auto"/>
          <w:sz w:val="21"/>
          <w:szCs w:val="21"/>
        </w:rPr>
      </w:pPr>
      <w:r>
        <w:rPr>
          <w:rFonts w:ascii="Times New Roman" w:eastAsia="Times New Roman" w:hAnsi="Times New Roman" w:cs="Times New Roman"/>
          <w:color w:val="auto"/>
          <w:sz w:val="21"/>
          <w:szCs w:val="21"/>
        </w:rPr>
        <w:t xml:space="preserve">    Η μέθοδος </w:t>
      </w:r>
      <w:r>
        <w:rPr>
          <w:rFonts w:ascii="Times New Roman" w:eastAsia="Times New Roman" w:hAnsi="Times New Roman" w:cs="Times New Roman"/>
          <w:color w:val="auto"/>
          <w:sz w:val="21"/>
          <w:szCs w:val="21"/>
          <w:lang w:val="en-US"/>
        </w:rPr>
        <w:t>F</w:t>
      </w:r>
      <w:r>
        <w:rPr>
          <w:rFonts w:ascii="Times New Roman" w:eastAsia="Times New Roman" w:hAnsi="Times New Roman" w:cs="Times New Roman"/>
          <w:color w:val="auto"/>
          <w:sz w:val="21"/>
          <w:szCs w:val="21"/>
        </w:rPr>
        <w:t>.</w:t>
      </w:r>
      <w:r>
        <w:rPr>
          <w:rFonts w:ascii="Times New Roman" w:eastAsia="Times New Roman" w:hAnsi="Times New Roman" w:cs="Times New Roman"/>
          <w:color w:val="auto"/>
          <w:sz w:val="21"/>
          <w:szCs w:val="21"/>
          <w:lang w:val="en-US"/>
        </w:rPr>
        <w:t>I</w:t>
      </w:r>
      <w:r>
        <w:rPr>
          <w:rFonts w:ascii="Times New Roman" w:eastAsia="Times New Roman" w:hAnsi="Times New Roman" w:cs="Times New Roman"/>
          <w:color w:val="auto"/>
          <w:sz w:val="21"/>
          <w:szCs w:val="21"/>
        </w:rPr>
        <w:t>.</w:t>
      </w:r>
      <w:r>
        <w:rPr>
          <w:rFonts w:ascii="Times New Roman" w:eastAsia="Times New Roman" w:hAnsi="Times New Roman" w:cs="Times New Roman"/>
          <w:color w:val="auto"/>
          <w:sz w:val="21"/>
          <w:szCs w:val="21"/>
          <w:lang w:val="en-US"/>
        </w:rPr>
        <w:t>F</w:t>
      </w:r>
      <w:r>
        <w:rPr>
          <w:rFonts w:ascii="Times New Roman" w:eastAsia="Times New Roman" w:hAnsi="Times New Roman" w:cs="Times New Roman"/>
          <w:color w:val="auto"/>
          <w:sz w:val="21"/>
          <w:szCs w:val="21"/>
        </w:rPr>
        <w:t>.</w:t>
      </w:r>
      <w:r>
        <w:rPr>
          <w:rFonts w:ascii="Times New Roman" w:eastAsia="Times New Roman" w:hAnsi="Times New Roman" w:cs="Times New Roman"/>
          <w:color w:val="auto"/>
          <w:sz w:val="21"/>
          <w:szCs w:val="21"/>
          <w:lang w:val="en-US"/>
        </w:rPr>
        <w:t>O</w:t>
      </w:r>
      <w:r>
        <w:rPr>
          <w:rFonts w:ascii="Times New Roman" w:eastAsia="Times New Roman" w:hAnsi="Times New Roman" w:cs="Times New Roman"/>
          <w:color w:val="auto"/>
          <w:sz w:val="21"/>
          <w:szCs w:val="21"/>
        </w:rPr>
        <w:t xml:space="preserve"> δίνει την πιο ρεαλιστική αποτίμηση του αποθέματος στον ισολογισμό. Με την μέθοδο αυτή τα αποθέματα τέλους χρήσεως αποτιμώνται σε τιμές που πλησιάζουν προς τις τρέχουσες τιμές αγοράς και συνεπώς, η αξία των αποθεμάτων που εμφανίζεται στον ισολογισμό είναι ορθότερη σε σύγκριση με εκείνη που προκύπτει με την εφαρμογή άλλων μεθόδων. Εντούτοις, η μέθοδος παρουσιάζει βασική αδυναμία στην ορθή αντιπαράθεση των εσόδων με το κόστος των πωληθέντων, αφού στα τρέχοντα έσοδα από τις πωλήσεις δεν αντιπαραθέτει το τρέχον κόστος των πωληθέντων, αλλά το κόστος κτήσεως των παλαιότερων αγορών. Έτσι, η μέθοδος αυτή, σε περιόδους πληθωρισμού, οδηγεί σε αύξηση των κερδών που προσδιορίζονται λογιστικά και στην περαιτέρω αύξηση της οφειλής σε φόρο εισοδήματος.</w:t>
      </w:r>
    </w:p>
    <w:p w:rsidR="00E54474" w:rsidRDefault="00E54474" w:rsidP="00E54474">
      <w:pPr>
        <w:pStyle w:val="esoxes"/>
        <w:ind w:left="-851" w:firstLine="0"/>
        <w:rPr>
          <w:rFonts w:ascii="Times New Roman" w:eastAsia="Times New Roman" w:hAnsi="Times New Roman" w:cs="Times New Roman"/>
          <w:color w:val="auto"/>
          <w:sz w:val="21"/>
          <w:szCs w:val="21"/>
        </w:rPr>
      </w:pPr>
    </w:p>
    <w:p w:rsidR="00E54474" w:rsidRDefault="00E54474" w:rsidP="00E54474">
      <w:pPr>
        <w:pStyle w:val="esoxes"/>
        <w:ind w:left="-851" w:firstLine="0"/>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ε) Συσχέτιση εφαρμογής μεθόδου αποτίμησης και διοικητική απόφαση για αίτημα χρηματοδότησης</w:t>
      </w:r>
    </w:p>
    <w:p w:rsidR="00E54474" w:rsidRDefault="00E54474" w:rsidP="00E54474">
      <w:pPr>
        <w:pStyle w:val="esoxes"/>
        <w:ind w:left="-851" w:firstLine="0"/>
        <w:rPr>
          <w:rFonts w:ascii="Times New Roman" w:eastAsia="Times New Roman" w:hAnsi="Times New Roman" w:cs="Times New Roman"/>
          <w:color w:val="auto"/>
          <w:sz w:val="21"/>
          <w:szCs w:val="21"/>
        </w:rPr>
      </w:pPr>
    </w:p>
    <w:p w:rsidR="00E54474" w:rsidRDefault="00E54474" w:rsidP="00E54474">
      <w:pPr>
        <w:pStyle w:val="esoxes"/>
        <w:ind w:left="-851" w:firstLine="0"/>
        <w:rPr>
          <w:rFonts w:ascii="Times New Roman" w:eastAsia="Times New Roman" w:hAnsi="Times New Roman" w:cs="Times New Roman"/>
          <w:color w:val="auto"/>
          <w:sz w:val="21"/>
          <w:szCs w:val="21"/>
        </w:rPr>
      </w:pPr>
      <w:r>
        <w:rPr>
          <w:rFonts w:ascii="Times New Roman" w:eastAsia="Times New Roman" w:hAnsi="Times New Roman" w:cs="Times New Roman"/>
          <w:color w:val="auto"/>
          <w:sz w:val="21"/>
          <w:szCs w:val="21"/>
        </w:rPr>
        <w:t xml:space="preserve">    Η μέθοδος αποτίμησης των αποθεμάτων που θα την διευκόλυνε το σκοπό χρηματοδότησης της επιχείρησης με τραπεζικό δάνειο θα ήταν η μέθοδος </w:t>
      </w:r>
      <w:r>
        <w:rPr>
          <w:rFonts w:ascii="Times New Roman" w:eastAsia="Times New Roman" w:hAnsi="Times New Roman" w:cs="Times New Roman"/>
          <w:color w:val="auto"/>
          <w:sz w:val="21"/>
          <w:szCs w:val="21"/>
          <w:lang w:val="en-US"/>
        </w:rPr>
        <w:t>F</w:t>
      </w:r>
      <w:r>
        <w:rPr>
          <w:rFonts w:ascii="Times New Roman" w:eastAsia="Times New Roman" w:hAnsi="Times New Roman" w:cs="Times New Roman"/>
          <w:color w:val="auto"/>
          <w:sz w:val="21"/>
          <w:szCs w:val="21"/>
        </w:rPr>
        <w:t>.</w:t>
      </w:r>
      <w:r>
        <w:rPr>
          <w:rFonts w:ascii="Times New Roman" w:eastAsia="Times New Roman" w:hAnsi="Times New Roman" w:cs="Times New Roman"/>
          <w:color w:val="auto"/>
          <w:sz w:val="21"/>
          <w:szCs w:val="21"/>
          <w:lang w:val="en-US"/>
        </w:rPr>
        <w:t>I</w:t>
      </w:r>
      <w:r>
        <w:rPr>
          <w:rFonts w:ascii="Times New Roman" w:eastAsia="Times New Roman" w:hAnsi="Times New Roman" w:cs="Times New Roman"/>
          <w:color w:val="auto"/>
          <w:sz w:val="21"/>
          <w:szCs w:val="21"/>
        </w:rPr>
        <w:t>.</w:t>
      </w:r>
      <w:r>
        <w:rPr>
          <w:rFonts w:ascii="Times New Roman" w:eastAsia="Times New Roman" w:hAnsi="Times New Roman" w:cs="Times New Roman"/>
          <w:color w:val="auto"/>
          <w:sz w:val="21"/>
          <w:szCs w:val="21"/>
          <w:lang w:val="en-US"/>
        </w:rPr>
        <w:t>F</w:t>
      </w:r>
      <w:r>
        <w:rPr>
          <w:rFonts w:ascii="Times New Roman" w:eastAsia="Times New Roman" w:hAnsi="Times New Roman" w:cs="Times New Roman"/>
          <w:color w:val="auto"/>
          <w:sz w:val="21"/>
          <w:szCs w:val="21"/>
        </w:rPr>
        <w:t>.</w:t>
      </w:r>
      <w:r>
        <w:rPr>
          <w:rFonts w:ascii="Times New Roman" w:eastAsia="Times New Roman" w:hAnsi="Times New Roman" w:cs="Times New Roman"/>
          <w:color w:val="auto"/>
          <w:sz w:val="21"/>
          <w:szCs w:val="21"/>
          <w:lang w:val="en-US"/>
        </w:rPr>
        <w:t>O</w:t>
      </w:r>
      <w:r>
        <w:rPr>
          <w:rFonts w:ascii="Times New Roman" w:eastAsia="Times New Roman" w:hAnsi="Times New Roman" w:cs="Times New Roman"/>
          <w:color w:val="auto"/>
          <w:sz w:val="21"/>
          <w:szCs w:val="21"/>
        </w:rPr>
        <w:t>, γιατί η χρήση της σε περιόδους πληθωρισμού (ανόδου των τιμών της αγοράς), υπερεκτιμά τα λογιστικά κέρδη της χρήσεως και βελτιώνει τους δείκτες ρευστότητας και αποδοτικότητας της επιχείρησης. Αυτό έχει σαν αποτέλεσμα να διευκολυνθεί η έγκριση και λήψη του Τραπεζικού δανείου.</w:t>
      </w:r>
    </w:p>
    <w:p w:rsidR="00E54474" w:rsidRDefault="00E54474" w:rsidP="00E54474">
      <w:pPr>
        <w:pStyle w:val="esoxes"/>
        <w:ind w:left="-851" w:firstLine="0"/>
        <w:rPr>
          <w:rFonts w:ascii="Times New Roman" w:eastAsia="Times New Roman" w:hAnsi="Times New Roman" w:cs="Times New Roman"/>
          <w:b/>
          <w:color w:val="auto"/>
          <w:sz w:val="21"/>
          <w:szCs w:val="21"/>
        </w:rPr>
      </w:pPr>
    </w:p>
    <w:p w:rsidR="00E54474" w:rsidRDefault="00E54474" w:rsidP="00E54474">
      <w:pPr>
        <w:pStyle w:val="esoxes"/>
        <w:ind w:left="-851" w:firstLine="0"/>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στ) Ημερολογιακές εγγραφές</w:t>
      </w:r>
    </w:p>
    <w:p w:rsidR="00E54474" w:rsidRDefault="00E54474" w:rsidP="00E54474">
      <w:pPr>
        <w:pStyle w:val="esoxes"/>
        <w:ind w:left="-851" w:firstLine="0"/>
        <w:rPr>
          <w:rFonts w:ascii="Times New Roman" w:eastAsia="Times New Roman" w:hAnsi="Times New Roman" w:cs="Times New Roman"/>
          <w:b/>
          <w:color w:val="auto"/>
          <w:sz w:val="21"/>
          <w:szCs w:val="21"/>
        </w:rPr>
      </w:pPr>
    </w:p>
    <w:p w:rsidR="00E54474" w:rsidRDefault="00E54474" w:rsidP="00E54474">
      <w:pPr>
        <w:ind w:left="-851"/>
        <w:rPr>
          <w:sz w:val="21"/>
          <w:szCs w:val="21"/>
        </w:rPr>
      </w:pPr>
      <w:r>
        <w:rPr>
          <w:sz w:val="21"/>
          <w:szCs w:val="21"/>
        </w:rPr>
        <w:t>……………………………………………………</w:t>
      </w:r>
      <w:r>
        <w:rPr>
          <w:b/>
          <w:sz w:val="21"/>
          <w:szCs w:val="21"/>
        </w:rPr>
        <w:t>1.1.20Χ1</w:t>
      </w:r>
      <w:r>
        <w:rPr>
          <w:sz w:val="21"/>
          <w:szCs w:val="21"/>
        </w:rPr>
        <w:t>……………………………………………</w:t>
      </w:r>
    </w:p>
    <w:p w:rsidR="00E54474" w:rsidRDefault="00E54474" w:rsidP="00E54474">
      <w:pPr>
        <w:autoSpaceDE w:val="0"/>
        <w:autoSpaceDN w:val="0"/>
        <w:adjustRightInd w:val="0"/>
        <w:spacing w:after="0" w:line="280" w:lineRule="atLeast"/>
        <w:ind w:left="-851"/>
        <w:textAlignment w:val="baseline"/>
        <w:rPr>
          <w:b/>
          <w:sz w:val="21"/>
          <w:szCs w:val="21"/>
        </w:rPr>
      </w:pPr>
      <w:r>
        <w:rPr>
          <w:b/>
          <w:sz w:val="21"/>
          <w:szCs w:val="21"/>
        </w:rPr>
        <w:t>20 Εμπορεύματα</w:t>
      </w:r>
    </w:p>
    <w:p w:rsidR="00E54474" w:rsidRDefault="00E54474" w:rsidP="00E54474">
      <w:pPr>
        <w:tabs>
          <w:tab w:val="left" w:pos="5970"/>
        </w:tabs>
        <w:autoSpaceDE w:val="0"/>
        <w:autoSpaceDN w:val="0"/>
        <w:adjustRightInd w:val="0"/>
        <w:spacing w:after="0" w:line="280" w:lineRule="atLeast"/>
        <w:ind w:left="-851"/>
        <w:textAlignment w:val="baseline"/>
        <w:rPr>
          <w:sz w:val="21"/>
          <w:szCs w:val="21"/>
        </w:rPr>
      </w:pPr>
      <w:r>
        <w:rPr>
          <w:sz w:val="21"/>
          <w:szCs w:val="21"/>
        </w:rPr>
        <w:t>20.01 Εμπορεύματα έναρξης</w:t>
      </w:r>
    </w:p>
    <w:p w:rsidR="00E54474" w:rsidRDefault="00E54474" w:rsidP="00E54474">
      <w:pPr>
        <w:tabs>
          <w:tab w:val="left" w:pos="5970"/>
        </w:tabs>
        <w:autoSpaceDE w:val="0"/>
        <w:autoSpaceDN w:val="0"/>
        <w:adjustRightInd w:val="0"/>
        <w:spacing w:after="0" w:line="280" w:lineRule="atLeast"/>
        <w:ind w:left="-851"/>
        <w:textAlignment w:val="baseline"/>
        <w:rPr>
          <w:sz w:val="21"/>
          <w:szCs w:val="21"/>
        </w:rPr>
      </w:pPr>
      <w:r>
        <w:rPr>
          <w:sz w:val="21"/>
          <w:szCs w:val="21"/>
        </w:rPr>
        <w:t>20.01.01 Εμπόρευμα «Ε»                                                                          1.500</w:t>
      </w:r>
    </w:p>
    <w:p w:rsidR="00E54474" w:rsidRDefault="00E54474" w:rsidP="00E54474">
      <w:pPr>
        <w:tabs>
          <w:tab w:val="left" w:pos="5460"/>
        </w:tabs>
        <w:autoSpaceDE w:val="0"/>
        <w:autoSpaceDN w:val="0"/>
        <w:adjustRightInd w:val="0"/>
        <w:spacing w:after="0" w:line="280" w:lineRule="atLeast"/>
        <w:ind w:left="-851"/>
        <w:textAlignment w:val="baseline"/>
        <w:rPr>
          <w:b/>
          <w:sz w:val="21"/>
          <w:szCs w:val="21"/>
        </w:rPr>
      </w:pPr>
      <w:r>
        <w:rPr>
          <w:b/>
          <w:sz w:val="21"/>
          <w:szCs w:val="21"/>
        </w:rPr>
        <w:t xml:space="preserve">     89 Ισολογισμός</w:t>
      </w:r>
    </w:p>
    <w:p w:rsidR="00E54474" w:rsidRDefault="00E54474" w:rsidP="00E54474">
      <w:pPr>
        <w:tabs>
          <w:tab w:val="left" w:pos="7185"/>
        </w:tabs>
        <w:autoSpaceDE w:val="0"/>
        <w:autoSpaceDN w:val="0"/>
        <w:adjustRightInd w:val="0"/>
        <w:spacing w:after="0" w:line="280" w:lineRule="atLeast"/>
        <w:ind w:left="-851"/>
        <w:textAlignment w:val="baseline"/>
        <w:rPr>
          <w:sz w:val="21"/>
          <w:szCs w:val="21"/>
        </w:rPr>
      </w:pPr>
      <w:r>
        <w:rPr>
          <w:b/>
          <w:sz w:val="21"/>
          <w:szCs w:val="21"/>
        </w:rPr>
        <w:t xml:space="preserve">     </w:t>
      </w:r>
      <w:r>
        <w:rPr>
          <w:sz w:val="21"/>
          <w:szCs w:val="21"/>
        </w:rPr>
        <w:t>89.00 Ισολογισμός ανοίγματος</w:t>
      </w:r>
      <w:r>
        <w:rPr>
          <w:sz w:val="21"/>
          <w:szCs w:val="21"/>
        </w:rPr>
        <w:tab/>
        <w:t xml:space="preserve">                           1.500</w:t>
      </w:r>
    </w:p>
    <w:p w:rsidR="00E54474" w:rsidRDefault="00E54474" w:rsidP="00E54474">
      <w:pPr>
        <w:ind w:left="-851"/>
        <w:rPr>
          <w:b/>
          <w:sz w:val="21"/>
          <w:szCs w:val="21"/>
        </w:rPr>
      </w:pPr>
      <w:r>
        <w:rPr>
          <w:b/>
          <w:sz w:val="21"/>
          <w:szCs w:val="21"/>
        </w:rPr>
        <w:t xml:space="preserve">Εγγραφή ανοίγματος με την αξία του εμπορεύματος «Ε» κατά την προηγούμενη απογραφή </w:t>
      </w:r>
    </w:p>
    <w:p w:rsidR="00E54474" w:rsidRDefault="00E54474" w:rsidP="00E54474">
      <w:pPr>
        <w:ind w:left="-851"/>
        <w:rPr>
          <w:sz w:val="21"/>
          <w:szCs w:val="21"/>
        </w:rPr>
      </w:pPr>
      <w:r>
        <w:rPr>
          <w:sz w:val="21"/>
          <w:szCs w:val="21"/>
        </w:rPr>
        <w:t>……………………………………………………</w:t>
      </w:r>
      <w:r>
        <w:rPr>
          <w:b/>
          <w:sz w:val="21"/>
          <w:szCs w:val="21"/>
          <w:lang w:val="en-US"/>
        </w:rPr>
        <w:t>XX</w:t>
      </w:r>
      <w:r>
        <w:rPr>
          <w:b/>
          <w:sz w:val="21"/>
          <w:szCs w:val="21"/>
        </w:rPr>
        <w:t>.1.20Χ1</w:t>
      </w:r>
      <w:r>
        <w:rPr>
          <w:sz w:val="21"/>
          <w:szCs w:val="21"/>
        </w:rPr>
        <w:t>……………………………………………</w:t>
      </w:r>
    </w:p>
    <w:p w:rsidR="00E54474" w:rsidRDefault="00E54474" w:rsidP="00E54474">
      <w:pPr>
        <w:autoSpaceDE w:val="0"/>
        <w:autoSpaceDN w:val="0"/>
        <w:adjustRightInd w:val="0"/>
        <w:spacing w:after="0" w:line="280" w:lineRule="atLeast"/>
        <w:ind w:left="-851"/>
        <w:textAlignment w:val="baseline"/>
        <w:rPr>
          <w:b/>
          <w:sz w:val="21"/>
          <w:szCs w:val="21"/>
        </w:rPr>
      </w:pPr>
      <w:r>
        <w:rPr>
          <w:b/>
          <w:sz w:val="21"/>
          <w:szCs w:val="21"/>
        </w:rPr>
        <w:t>20 Εμπορεύματα</w:t>
      </w:r>
    </w:p>
    <w:p w:rsidR="00E54474" w:rsidRDefault="00E54474" w:rsidP="00E54474">
      <w:pPr>
        <w:tabs>
          <w:tab w:val="left" w:pos="5970"/>
        </w:tabs>
        <w:autoSpaceDE w:val="0"/>
        <w:autoSpaceDN w:val="0"/>
        <w:adjustRightInd w:val="0"/>
        <w:spacing w:after="0" w:line="280" w:lineRule="atLeast"/>
        <w:ind w:left="-851"/>
        <w:textAlignment w:val="baseline"/>
        <w:rPr>
          <w:sz w:val="21"/>
          <w:szCs w:val="21"/>
        </w:rPr>
      </w:pPr>
      <w:r>
        <w:rPr>
          <w:sz w:val="21"/>
          <w:szCs w:val="21"/>
        </w:rPr>
        <w:t>20.02 Αγορές εμπορευμάτων χρήσης</w:t>
      </w:r>
    </w:p>
    <w:p w:rsidR="00E54474" w:rsidRDefault="00E54474" w:rsidP="00E54474">
      <w:pPr>
        <w:tabs>
          <w:tab w:val="left" w:pos="5970"/>
        </w:tabs>
        <w:autoSpaceDE w:val="0"/>
        <w:autoSpaceDN w:val="0"/>
        <w:adjustRightInd w:val="0"/>
        <w:spacing w:after="0" w:line="280" w:lineRule="atLeast"/>
        <w:ind w:left="-851"/>
        <w:textAlignment w:val="baseline"/>
        <w:rPr>
          <w:sz w:val="21"/>
          <w:szCs w:val="21"/>
        </w:rPr>
      </w:pPr>
      <w:r>
        <w:rPr>
          <w:sz w:val="21"/>
          <w:szCs w:val="21"/>
        </w:rPr>
        <w:t>20.02.01 Εμπόρευμα «Ε»                                                                        28.500</w:t>
      </w:r>
    </w:p>
    <w:p w:rsidR="00E54474" w:rsidRDefault="00E54474" w:rsidP="00E54474">
      <w:pPr>
        <w:tabs>
          <w:tab w:val="left" w:pos="5460"/>
        </w:tabs>
        <w:autoSpaceDE w:val="0"/>
        <w:autoSpaceDN w:val="0"/>
        <w:adjustRightInd w:val="0"/>
        <w:spacing w:after="0" w:line="280" w:lineRule="atLeast"/>
        <w:ind w:left="-851"/>
        <w:textAlignment w:val="baseline"/>
        <w:rPr>
          <w:b/>
          <w:sz w:val="21"/>
          <w:szCs w:val="21"/>
        </w:rPr>
      </w:pPr>
      <w:r>
        <w:rPr>
          <w:b/>
          <w:sz w:val="21"/>
          <w:szCs w:val="21"/>
        </w:rPr>
        <w:t>54 Υποχρεώσεις από φόρους και τέλη</w:t>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sz w:val="21"/>
          <w:szCs w:val="21"/>
        </w:rPr>
        <w:t>54.02 Φόρος προστιθέμενης αξίας (ΦΠΑ)</w:t>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sz w:val="21"/>
          <w:szCs w:val="21"/>
        </w:rPr>
        <w:t>54.02.02 ΦΠΑ εισροών                                                                            6.555</w:t>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sz w:val="21"/>
          <w:szCs w:val="21"/>
        </w:rPr>
        <w:t xml:space="preserve">(ΦΠΑ 23% επί υποκείμενης αξίας €28.500) </w:t>
      </w:r>
    </w:p>
    <w:p w:rsidR="00E54474" w:rsidRDefault="00E54474" w:rsidP="00E54474">
      <w:pPr>
        <w:tabs>
          <w:tab w:val="left" w:pos="5460"/>
        </w:tabs>
        <w:autoSpaceDE w:val="0"/>
        <w:autoSpaceDN w:val="0"/>
        <w:adjustRightInd w:val="0"/>
        <w:spacing w:after="0" w:line="280" w:lineRule="atLeast"/>
        <w:ind w:left="-851"/>
        <w:textAlignment w:val="baseline"/>
        <w:rPr>
          <w:b/>
          <w:sz w:val="21"/>
          <w:szCs w:val="21"/>
        </w:rPr>
      </w:pPr>
      <w:r>
        <w:rPr>
          <w:b/>
          <w:sz w:val="21"/>
          <w:szCs w:val="21"/>
        </w:rPr>
        <w:t xml:space="preserve">     50 Προμηθευτές</w:t>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b/>
          <w:sz w:val="21"/>
          <w:szCs w:val="21"/>
        </w:rPr>
        <w:t xml:space="preserve">     </w:t>
      </w:r>
      <w:r>
        <w:rPr>
          <w:sz w:val="21"/>
          <w:szCs w:val="21"/>
        </w:rPr>
        <w:t>50.01 Προμηθευτές-μη συνδεδεμένες οντότητες</w:t>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sz w:val="21"/>
          <w:szCs w:val="21"/>
        </w:rPr>
        <w:t xml:space="preserve">     50.01.01 Προμηθευτής «ΠΡ»                                                                                                                      35.055 </w:t>
      </w:r>
    </w:p>
    <w:p w:rsidR="00E54474" w:rsidRDefault="00E54474" w:rsidP="00E54474">
      <w:pPr>
        <w:ind w:left="-851"/>
        <w:rPr>
          <w:b/>
          <w:sz w:val="21"/>
          <w:szCs w:val="21"/>
        </w:rPr>
      </w:pPr>
      <w:r>
        <w:rPr>
          <w:b/>
          <w:sz w:val="21"/>
          <w:szCs w:val="21"/>
        </w:rPr>
        <w:t>Λογιστικοποίηση αγορών περιόδου Ιανουαρίου ως τιμολόγια Νο… προμηθευτή «ΠΡ»</w:t>
      </w:r>
    </w:p>
    <w:p w:rsidR="00E54474" w:rsidRDefault="00E54474" w:rsidP="00E54474">
      <w:pPr>
        <w:ind w:left="-851"/>
        <w:rPr>
          <w:sz w:val="21"/>
          <w:szCs w:val="21"/>
        </w:rPr>
      </w:pPr>
      <w:r>
        <w:rPr>
          <w:sz w:val="21"/>
          <w:szCs w:val="21"/>
        </w:rPr>
        <w:t>……………………………………………………</w:t>
      </w:r>
      <w:r>
        <w:rPr>
          <w:b/>
          <w:sz w:val="21"/>
          <w:szCs w:val="21"/>
          <w:lang w:val="en-US"/>
        </w:rPr>
        <w:t>XX</w:t>
      </w:r>
      <w:r>
        <w:rPr>
          <w:b/>
          <w:sz w:val="21"/>
          <w:szCs w:val="21"/>
        </w:rPr>
        <w:t>.1.20Χ1</w:t>
      </w:r>
      <w:r>
        <w:rPr>
          <w:sz w:val="21"/>
          <w:szCs w:val="21"/>
        </w:rPr>
        <w:t>……………………………………………</w:t>
      </w:r>
    </w:p>
    <w:p w:rsidR="00E54474" w:rsidRDefault="00E54474" w:rsidP="00E54474">
      <w:pPr>
        <w:autoSpaceDE w:val="0"/>
        <w:autoSpaceDN w:val="0"/>
        <w:adjustRightInd w:val="0"/>
        <w:spacing w:after="0" w:line="280" w:lineRule="atLeast"/>
        <w:ind w:left="-851"/>
        <w:textAlignment w:val="baseline"/>
        <w:rPr>
          <w:b/>
          <w:sz w:val="21"/>
          <w:szCs w:val="21"/>
        </w:rPr>
      </w:pPr>
      <w:r>
        <w:rPr>
          <w:b/>
          <w:sz w:val="21"/>
          <w:szCs w:val="21"/>
        </w:rPr>
        <w:t>30 Πελάτες</w:t>
      </w:r>
    </w:p>
    <w:p w:rsidR="00E54474" w:rsidRDefault="00E54474" w:rsidP="00E54474">
      <w:pPr>
        <w:tabs>
          <w:tab w:val="left" w:pos="5970"/>
        </w:tabs>
        <w:autoSpaceDE w:val="0"/>
        <w:autoSpaceDN w:val="0"/>
        <w:adjustRightInd w:val="0"/>
        <w:spacing w:after="0" w:line="280" w:lineRule="atLeast"/>
        <w:ind w:left="-851"/>
        <w:textAlignment w:val="baseline"/>
        <w:rPr>
          <w:sz w:val="21"/>
          <w:szCs w:val="21"/>
        </w:rPr>
      </w:pPr>
      <w:r>
        <w:rPr>
          <w:sz w:val="21"/>
          <w:szCs w:val="21"/>
        </w:rPr>
        <w:t>30.01 Πελάτες-μη συνδεδεμένες οντότητες</w:t>
      </w:r>
    </w:p>
    <w:p w:rsidR="00E54474" w:rsidRDefault="00E54474" w:rsidP="00E54474">
      <w:pPr>
        <w:tabs>
          <w:tab w:val="left" w:pos="5970"/>
        </w:tabs>
        <w:autoSpaceDE w:val="0"/>
        <w:autoSpaceDN w:val="0"/>
        <w:adjustRightInd w:val="0"/>
        <w:spacing w:after="0" w:line="280" w:lineRule="atLeast"/>
        <w:ind w:left="-851"/>
        <w:textAlignment w:val="baseline"/>
        <w:rPr>
          <w:sz w:val="21"/>
          <w:szCs w:val="21"/>
        </w:rPr>
      </w:pPr>
      <w:r>
        <w:rPr>
          <w:sz w:val="21"/>
          <w:szCs w:val="21"/>
        </w:rPr>
        <w:t>30.01.01 Πελάτης «Π»                                                                        29.756</w:t>
      </w:r>
    </w:p>
    <w:p w:rsidR="00E54474" w:rsidRDefault="00E54474" w:rsidP="00E54474">
      <w:pPr>
        <w:tabs>
          <w:tab w:val="left" w:pos="5460"/>
        </w:tabs>
        <w:autoSpaceDE w:val="0"/>
        <w:autoSpaceDN w:val="0"/>
        <w:adjustRightInd w:val="0"/>
        <w:spacing w:after="0" w:line="280" w:lineRule="atLeast"/>
        <w:ind w:left="-851"/>
        <w:textAlignment w:val="baseline"/>
        <w:rPr>
          <w:b/>
          <w:sz w:val="21"/>
          <w:szCs w:val="21"/>
        </w:rPr>
      </w:pPr>
      <w:r>
        <w:rPr>
          <w:b/>
          <w:sz w:val="21"/>
          <w:szCs w:val="21"/>
        </w:rPr>
        <w:t xml:space="preserve">     54 Υποχρεώσεις από φόρους και τέλη</w:t>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sz w:val="21"/>
          <w:szCs w:val="21"/>
        </w:rPr>
        <w:t xml:space="preserve">     54.02 Φόρος προστιθέμενης αξίας (ΦΠΑ)</w:t>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sz w:val="21"/>
          <w:szCs w:val="21"/>
        </w:rPr>
        <w:t xml:space="preserve">      54.02.01 ΦΠΑ εκροών                                                                                                                             5.556</w:t>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sz w:val="21"/>
          <w:szCs w:val="21"/>
        </w:rPr>
        <w:t xml:space="preserve">     (ΦΠΑ 23% επί υποκείμενης αξίας €24.200) </w:t>
      </w:r>
    </w:p>
    <w:p w:rsidR="00E54474" w:rsidRDefault="00E54474" w:rsidP="00E54474">
      <w:pPr>
        <w:tabs>
          <w:tab w:val="left" w:pos="5460"/>
        </w:tabs>
        <w:autoSpaceDE w:val="0"/>
        <w:autoSpaceDN w:val="0"/>
        <w:adjustRightInd w:val="0"/>
        <w:spacing w:after="0" w:line="280" w:lineRule="atLeast"/>
        <w:ind w:left="-851"/>
        <w:textAlignment w:val="baseline"/>
        <w:rPr>
          <w:b/>
          <w:sz w:val="21"/>
          <w:szCs w:val="21"/>
        </w:rPr>
      </w:pPr>
      <w:r>
        <w:rPr>
          <w:b/>
          <w:sz w:val="21"/>
          <w:szCs w:val="21"/>
        </w:rPr>
        <w:t xml:space="preserve">     70 Πωλήσεις</w:t>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b/>
          <w:sz w:val="21"/>
          <w:szCs w:val="21"/>
        </w:rPr>
        <w:t xml:space="preserve">     </w:t>
      </w:r>
      <w:r>
        <w:rPr>
          <w:sz w:val="21"/>
          <w:szCs w:val="21"/>
        </w:rPr>
        <w:t>70.01 Πωλήσεις εμπορευμάτων (καθαρές) σε μη συνδεδεμένες οντότητες</w:t>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sz w:val="21"/>
          <w:szCs w:val="21"/>
        </w:rPr>
        <w:t xml:space="preserve">     70.01.01 Εμπόρευμα «Ε»                                                                                                                       24.200 </w:t>
      </w:r>
    </w:p>
    <w:p w:rsidR="00E54474" w:rsidRDefault="00E54474" w:rsidP="00E54474">
      <w:pPr>
        <w:ind w:left="-851"/>
        <w:rPr>
          <w:b/>
          <w:sz w:val="21"/>
          <w:szCs w:val="21"/>
        </w:rPr>
      </w:pPr>
      <w:r>
        <w:rPr>
          <w:b/>
          <w:sz w:val="21"/>
          <w:szCs w:val="21"/>
        </w:rPr>
        <w:t>Λογιστικοποίηση πωλήσεων περιόδου Ιανουαρίου ως τιμολόγιά μας Νο… προς τον πελάτη «Π»</w:t>
      </w:r>
    </w:p>
    <w:p w:rsidR="00E54474" w:rsidRDefault="00E54474" w:rsidP="00E54474">
      <w:pPr>
        <w:ind w:left="-851"/>
        <w:rPr>
          <w:sz w:val="21"/>
          <w:szCs w:val="21"/>
        </w:rPr>
      </w:pPr>
      <w:r>
        <w:rPr>
          <w:sz w:val="21"/>
          <w:szCs w:val="21"/>
        </w:rPr>
        <w:t>……………………………………………………</w:t>
      </w:r>
      <w:r>
        <w:rPr>
          <w:b/>
          <w:sz w:val="21"/>
          <w:szCs w:val="21"/>
        </w:rPr>
        <w:t>31-1-20Χ1</w:t>
      </w:r>
      <w:r>
        <w:rPr>
          <w:sz w:val="21"/>
          <w:szCs w:val="21"/>
        </w:rPr>
        <w:t>………………………………………………</w:t>
      </w:r>
    </w:p>
    <w:p w:rsidR="00E54474" w:rsidRDefault="00E54474" w:rsidP="00E54474">
      <w:pPr>
        <w:autoSpaceDE w:val="0"/>
        <w:autoSpaceDN w:val="0"/>
        <w:adjustRightInd w:val="0"/>
        <w:spacing w:after="0" w:line="280" w:lineRule="atLeast"/>
        <w:ind w:left="-851"/>
        <w:textAlignment w:val="baseline"/>
        <w:rPr>
          <w:b/>
          <w:sz w:val="21"/>
          <w:szCs w:val="21"/>
        </w:rPr>
      </w:pPr>
      <w:r>
        <w:rPr>
          <w:b/>
          <w:sz w:val="21"/>
          <w:szCs w:val="21"/>
        </w:rPr>
        <w:t>61 Ζημίες επιμέτρησης περιουσιακών στοιχείων</w:t>
      </w:r>
    </w:p>
    <w:p w:rsidR="00E54474" w:rsidRDefault="00E54474" w:rsidP="00E54474">
      <w:pPr>
        <w:tabs>
          <w:tab w:val="left" w:pos="5970"/>
        </w:tabs>
        <w:autoSpaceDE w:val="0"/>
        <w:autoSpaceDN w:val="0"/>
        <w:adjustRightInd w:val="0"/>
        <w:spacing w:after="0" w:line="280" w:lineRule="atLeast"/>
        <w:ind w:left="-851"/>
        <w:textAlignment w:val="baseline"/>
        <w:rPr>
          <w:sz w:val="21"/>
          <w:szCs w:val="21"/>
        </w:rPr>
      </w:pPr>
      <w:r>
        <w:rPr>
          <w:sz w:val="21"/>
          <w:szCs w:val="21"/>
        </w:rPr>
        <w:t>61.04 Απομείωση αποθεμάτων</w:t>
      </w:r>
      <w:r>
        <w:rPr>
          <w:sz w:val="21"/>
          <w:szCs w:val="21"/>
        </w:rPr>
        <w:tab/>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sz w:val="21"/>
          <w:szCs w:val="21"/>
        </w:rPr>
        <w:t>61.04.01 Απομείωση εμπορεύματος «Ε»                                                        1.200</w:t>
      </w:r>
    </w:p>
    <w:p w:rsidR="00E54474" w:rsidRDefault="00E54474" w:rsidP="00E54474">
      <w:pPr>
        <w:autoSpaceDE w:val="0"/>
        <w:autoSpaceDN w:val="0"/>
        <w:adjustRightInd w:val="0"/>
        <w:spacing w:after="0" w:line="280" w:lineRule="atLeast"/>
        <w:ind w:left="-851"/>
        <w:textAlignment w:val="baseline"/>
        <w:rPr>
          <w:b/>
          <w:sz w:val="21"/>
          <w:szCs w:val="21"/>
        </w:rPr>
      </w:pPr>
      <w:r>
        <w:rPr>
          <w:b/>
          <w:sz w:val="21"/>
          <w:szCs w:val="21"/>
        </w:rPr>
        <w:t xml:space="preserve">    20 Εμπορεύματα</w:t>
      </w:r>
    </w:p>
    <w:p w:rsidR="00E54474" w:rsidRDefault="00E54474" w:rsidP="00E54474">
      <w:pPr>
        <w:autoSpaceDE w:val="0"/>
        <w:autoSpaceDN w:val="0"/>
        <w:adjustRightInd w:val="0"/>
        <w:spacing w:after="0" w:line="280" w:lineRule="atLeast"/>
        <w:ind w:left="-851"/>
        <w:textAlignment w:val="baseline"/>
        <w:rPr>
          <w:sz w:val="21"/>
          <w:szCs w:val="21"/>
        </w:rPr>
      </w:pPr>
      <w:r>
        <w:rPr>
          <w:sz w:val="21"/>
          <w:szCs w:val="21"/>
        </w:rPr>
        <w:t xml:space="preserve">    20.05 Απομείωση εμπορευμάτων                                     </w:t>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sz w:val="21"/>
          <w:szCs w:val="21"/>
        </w:rPr>
        <w:t xml:space="preserve">    20.05.01 Απομείωση εμπορεύματος «Ε»                                                                                                       1.200                   </w:t>
      </w:r>
    </w:p>
    <w:p w:rsidR="00E54474" w:rsidRDefault="00E54474" w:rsidP="00E54474">
      <w:pPr>
        <w:tabs>
          <w:tab w:val="left" w:pos="2415"/>
        </w:tabs>
        <w:ind w:left="-851"/>
        <w:rPr>
          <w:b/>
          <w:bCs/>
        </w:rPr>
      </w:pPr>
      <w:r>
        <w:rPr>
          <w:b/>
          <w:sz w:val="21"/>
          <w:szCs w:val="21"/>
        </w:rPr>
        <w:t xml:space="preserve">Απομείωση εμπορεύματος «Ε» </w:t>
      </w:r>
      <w:r>
        <w:rPr>
          <w:b/>
          <w:sz w:val="21"/>
          <w:szCs w:val="21"/>
        </w:rPr>
        <w:tab/>
      </w:r>
    </w:p>
    <w:p w:rsidR="00E54474" w:rsidRDefault="00E54474" w:rsidP="00E54474">
      <w:pPr>
        <w:ind w:left="-851"/>
        <w:rPr>
          <w:sz w:val="21"/>
          <w:szCs w:val="21"/>
        </w:rPr>
      </w:pPr>
      <w:r>
        <w:rPr>
          <w:sz w:val="21"/>
          <w:szCs w:val="21"/>
        </w:rPr>
        <w:t>……………………………………………………</w:t>
      </w:r>
      <w:r>
        <w:rPr>
          <w:b/>
          <w:sz w:val="21"/>
          <w:szCs w:val="21"/>
        </w:rPr>
        <w:t>31-1-20Χ1</w:t>
      </w:r>
      <w:r>
        <w:rPr>
          <w:sz w:val="21"/>
          <w:szCs w:val="21"/>
        </w:rPr>
        <w:t>………………………………………………</w:t>
      </w:r>
    </w:p>
    <w:p w:rsidR="00E54474" w:rsidRDefault="00E54474" w:rsidP="00E54474">
      <w:pPr>
        <w:autoSpaceDE w:val="0"/>
        <w:autoSpaceDN w:val="0"/>
        <w:adjustRightInd w:val="0"/>
        <w:spacing w:after="0" w:line="280" w:lineRule="atLeast"/>
        <w:ind w:left="-851"/>
        <w:textAlignment w:val="baseline"/>
        <w:rPr>
          <w:b/>
          <w:sz w:val="21"/>
          <w:szCs w:val="21"/>
        </w:rPr>
      </w:pPr>
      <w:r>
        <w:rPr>
          <w:b/>
          <w:sz w:val="21"/>
          <w:szCs w:val="21"/>
        </w:rPr>
        <w:t>70 Πωλήσεις αγαθών και υπηρεσιών</w:t>
      </w:r>
    </w:p>
    <w:p w:rsidR="00E54474" w:rsidRDefault="00E54474" w:rsidP="00E54474">
      <w:pPr>
        <w:tabs>
          <w:tab w:val="left" w:pos="5970"/>
        </w:tabs>
        <w:autoSpaceDE w:val="0"/>
        <w:autoSpaceDN w:val="0"/>
        <w:adjustRightInd w:val="0"/>
        <w:spacing w:after="0" w:line="280" w:lineRule="atLeast"/>
        <w:ind w:left="-851"/>
        <w:textAlignment w:val="baseline"/>
        <w:rPr>
          <w:sz w:val="21"/>
          <w:szCs w:val="21"/>
        </w:rPr>
      </w:pPr>
      <w:r>
        <w:rPr>
          <w:sz w:val="21"/>
          <w:szCs w:val="21"/>
        </w:rPr>
        <w:t>70.01 Πωλήσεις εμπορευμάτων (καθαρές) σε μη συνδεδεμένες οντότητες</w:t>
      </w:r>
      <w:r>
        <w:rPr>
          <w:sz w:val="21"/>
          <w:szCs w:val="21"/>
        </w:rPr>
        <w:tab/>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sz w:val="21"/>
          <w:szCs w:val="21"/>
        </w:rPr>
        <w:t>70.01.04 Κόστος πωληθέντων εμπορεύματος «Ε»                                       22.000</w:t>
      </w:r>
    </w:p>
    <w:p w:rsidR="00E54474" w:rsidRDefault="00E54474" w:rsidP="00E54474">
      <w:pPr>
        <w:autoSpaceDE w:val="0"/>
        <w:autoSpaceDN w:val="0"/>
        <w:adjustRightInd w:val="0"/>
        <w:spacing w:after="0" w:line="280" w:lineRule="atLeast"/>
        <w:ind w:left="-851"/>
        <w:textAlignment w:val="baseline"/>
        <w:rPr>
          <w:b/>
          <w:sz w:val="21"/>
          <w:szCs w:val="21"/>
        </w:rPr>
      </w:pPr>
      <w:r>
        <w:rPr>
          <w:b/>
          <w:sz w:val="21"/>
          <w:szCs w:val="21"/>
        </w:rPr>
        <w:t xml:space="preserve">    20 Εμπορεύματα</w:t>
      </w:r>
    </w:p>
    <w:p w:rsidR="00E54474" w:rsidRDefault="00E54474" w:rsidP="00E54474">
      <w:pPr>
        <w:autoSpaceDE w:val="0"/>
        <w:autoSpaceDN w:val="0"/>
        <w:adjustRightInd w:val="0"/>
        <w:spacing w:after="0" w:line="280" w:lineRule="atLeast"/>
        <w:ind w:left="-851"/>
        <w:textAlignment w:val="baseline"/>
        <w:rPr>
          <w:sz w:val="21"/>
          <w:szCs w:val="21"/>
        </w:rPr>
      </w:pPr>
      <w:r>
        <w:rPr>
          <w:sz w:val="21"/>
          <w:szCs w:val="21"/>
        </w:rPr>
        <w:t xml:space="preserve">    20.07 Κόστος πωληθέντων εμπορευμάτων                                     </w:t>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sz w:val="21"/>
          <w:szCs w:val="21"/>
        </w:rPr>
        <w:t xml:space="preserve">    20.07.01 Κόστος πωληθέντων εμπορεύματος «Ε»                                                                                        22.000</w:t>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b/>
          <w:sz w:val="21"/>
          <w:szCs w:val="21"/>
        </w:rPr>
        <w:t xml:space="preserve">Κοστολόγηση πωλήσεων εμπορεύματος «Ε» </w:t>
      </w:r>
      <w:r>
        <w:rPr>
          <w:sz w:val="21"/>
          <w:szCs w:val="21"/>
        </w:rPr>
        <w:t xml:space="preserve"> </w:t>
      </w:r>
    </w:p>
    <w:p w:rsidR="00E54474" w:rsidRDefault="00E54474" w:rsidP="00E54474">
      <w:pPr>
        <w:tabs>
          <w:tab w:val="left" w:pos="5460"/>
        </w:tabs>
        <w:autoSpaceDE w:val="0"/>
        <w:autoSpaceDN w:val="0"/>
        <w:adjustRightInd w:val="0"/>
        <w:spacing w:after="0" w:line="280" w:lineRule="atLeast"/>
        <w:ind w:left="-851"/>
        <w:textAlignment w:val="baseline"/>
        <w:rPr>
          <w:b/>
        </w:rPr>
      </w:pP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b/>
        </w:rPr>
        <w:t>Σημείωση:</w:t>
      </w:r>
      <w:r>
        <w:rPr>
          <w:sz w:val="21"/>
          <w:szCs w:val="21"/>
        </w:rPr>
        <w:t xml:space="preserve"> Σύμφωνα με το Παράρτημα  Γ του Ν.4308/2014,</w:t>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sz w:val="21"/>
          <w:szCs w:val="21"/>
        </w:rPr>
        <w:t>1) Το κόστος αναλώσεων και το κόστος πωληθέντων είναι δυνατόν να παρακολουθείται στους λογαριασμούς της ομάδας 2 και,</w:t>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sz w:val="21"/>
          <w:szCs w:val="21"/>
        </w:rPr>
        <w:t>2) Στο τέλος της περιόδου, το «Κόστος πωληθέντων», όταν τηρείται, μεταφέρεται στο λογαριασμό 82.01 «Συγκέντρωση αποτελεσματικών λογαριασμών». Όταν δεν τηρείται λογαριασμός «Κόστος πωληθέντων», με το σχετικό ποσό πιστώνονται οι λογαριασμοί αποθεμάτων, με μεταφορά στο λογαριασμό 82.01 «Συγκέντρωση αποτελεσματικών λογαριασμών».</w:t>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sz w:val="21"/>
          <w:szCs w:val="21"/>
        </w:rPr>
        <w:t>Με τη χρήση αντιθέτου λογαριασμού πωλήσεων για τη λογιστικοποίηση του κόστους πωληθέντων, επιτυγχάνεται η εμφάνιση του Μικτού αποτελέσματος (κέρδος ή ζημία) κατ΄ είδος αποθέματος, ενώ με τη χρήση αντιθέτου λογαριασμού της ομάδας 2 για κάθε είδος αποθέματος λογιστικοποιείται το κόστος πωληθέντων και έτσι οι λογαριασμοί των αποθεμάτων δείχνουν την αξία του τελικού αποθέματος.</w:t>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sz w:val="21"/>
          <w:szCs w:val="21"/>
        </w:rPr>
        <w:t>Στο παράδειγμά μας η αξία του τελικού αποθέματος αναλύεται ως εξής:</w:t>
      </w:r>
    </w:p>
    <w:p w:rsidR="00E54474" w:rsidRDefault="00E54474" w:rsidP="00E54474">
      <w:pPr>
        <w:tabs>
          <w:tab w:val="left" w:pos="5970"/>
        </w:tabs>
        <w:autoSpaceDE w:val="0"/>
        <w:autoSpaceDN w:val="0"/>
        <w:adjustRightInd w:val="0"/>
        <w:spacing w:after="0" w:line="280" w:lineRule="atLeast"/>
        <w:ind w:left="-851"/>
        <w:textAlignment w:val="baseline"/>
        <w:rPr>
          <w:sz w:val="21"/>
          <w:szCs w:val="21"/>
        </w:rPr>
      </w:pPr>
      <w:r>
        <w:rPr>
          <w:sz w:val="21"/>
          <w:szCs w:val="21"/>
        </w:rPr>
        <w:t>20.01 Εμπορεύματα έναρξης                                                                     1.500</w:t>
      </w:r>
    </w:p>
    <w:p w:rsidR="00E54474" w:rsidRDefault="00E54474" w:rsidP="00E54474">
      <w:pPr>
        <w:tabs>
          <w:tab w:val="left" w:pos="5970"/>
        </w:tabs>
        <w:autoSpaceDE w:val="0"/>
        <w:autoSpaceDN w:val="0"/>
        <w:adjustRightInd w:val="0"/>
        <w:spacing w:after="0" w:line="280" w:lineRule="atLeast"/>
        <w:ind w:left="-851"/>
        <w:textAlignment w:val="baseline"/>
        <w:rPr>
          <w:sz w:val="21"/>
          <w:szCs w:val="21"/>
        </w:rPr>
      </w:pPr>
      <w:r>
        <w:rPr>
          <w:sz w:val="21"/>
          <w:szCs w:val="21"/>
        </w:rPr>
        <w:t>20.02 Αγορές εμπορευμάτων χρήσης                                                        28.500</w:t>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sz w:val="21"/>
          <w:szCs w:val="21"/>
        </w:rPr>
        <w:t>20.05 Απομείωση εμπορευμάτων                                                            ( 1.200)</w:t>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sz w:val="21"/>
          <w:szCs w:val="21"/>
        </w:rPr>
        <w:t xml:space="preserve">20.07 Κόστος πωληθέντων εμπορευμάτων                                              </w:t>
      </w:r>
      <w:r>
        <w:rPr>
          <w:sz w:val="21"/>
          <w:szCs w:val="21"/>
          <w:u w:val="single"/>
        </w:rPr>
        <w:t>(22.000)</w:t>
      </w:r>
    </w:p>
    <w:p w:rsidR="00E54474" w:rsidRDefault="00E54474" w:rsidP="00E54474">
      <w:pPr>
        <w:tabs>
          <w:tab w:val="left" w:pos="5460"/>
        </w:tabs>
        <w:autoSpaceDE w:val="0"/>
        <w:autoSpaceDN w:val="0"/>
        <w:adjustRightInd w:val="0"/>
        <w:spacing w:after="0" w:line="280" w:lineRule="atLeast"/>
        <w:ind w:left="-851"/>
        <w:textAlignment w:val="baseline"/>
        <w:rPr>
          <w:b/>
          <w:sz w:val="21"/>
          <w:szCs w:val="21"/>
          <w:u w:val="double"/>
        </w:rPr>
      </w:pPr>
      <w:r>
        <w:rPr>
          <w:sz w:val="21"/>
          <w:szCs w:val="21"/>
        </w:rPr>
        <w:t xml:space="preserve">         Εμπορεύματα λήξης (400μονάδες χ 17€/μοναδα)                            </w:t>
      </w:r>
      <w:r>
        <w:rPr>
          <w:b/>
          <w:sz w:val="21"/>
          <w:szCs w:val="21"/>
        </w:rPr>
        <w:t xml:space="preserve"> </w:t>
      </w:r>
      <w:r>
        <w:rPr>
          <w:b/>
          <w:sz w:val="21"/>
          <w:szCs w:val="21"/>
          <w:u w:val="double"/>
        </w:rPr>
        <w:t xml:space="preserve">  6.800</w:t>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p>
    <w:p w:rsidR="00297368" w:rsidRDefault="00297368" w:rsidP="00E54474">
      <w:pPr>
        <w:tabs>
          <w:tab w:val="left" w:pos="5460"/>
        </w:tabs>
        <w:autoSpaceDE w:val="0"/>
        <w:autoSpaceDN w:val="0"/>
        <w:adjustRightInd w:val="0"/>
        <w:spacing w:after="0" w:line="280" w:lineRule="atLeast"/>
        <w:ind w:left="-851"/>
        <w:textAlignment w:val="baseline"/>
        <w:rPr>
          <w:sz w:val="21"/>
          <w:szCs w:val="21"/>
        </w:rPr>
      </w:pPr>
    </w:p>
    <w:p w:rsidR="00297368" w:rsidRDefault="00297368" w:rsidP="00E54474">
      <w:pPr>
        <w:tabs>
          <w:tab w:val="left" w:pos="5460"/>
        </w:tabs>
        <w:autoSpaceDE w:val="0"/>
        <w:autoSpaceDN w:val="0"/>
        <w:adjustRightInd w:val="0"/>
        <w:spacing w:after="0" w:line="280" w:lineRule="atLeast"/>
        <w:ind w:left="-851"/>
        <w:textAlignment w:val="baseline"/>
        <w:rPr>
          <w:sz w:val="21"/>
          <w:szCs w:val="21"/>
        </w:rPr>
      </w:pPr>
    </w:p>
    <w:p w:rsidR="00297368" w:rsidRDefault="00297368" w:rsidP="00E54474">
      <w:pPr>
        <w:tabs>
          <w:tab w:val="left" w:pos="5460"/>
        </w:tabs>
        <w:autoSpaceDE w:val="0"/>
        <w:autoSpaceDN w:val="0"/>
        <w:adjustRightInd w:val="0"/>
        <w:spacing w:after="0" w:line="280" w:lineRule="atLeast"/>
        <w:ind w:left="-851"/>
        <w:textAlignment w:val="baseline"/>
        <w:rPr>
          <w:sz w:val="21"/>
          <w:szCs w:val="21"/>
        </w:rPr>
      </w:pPr>
    </w:p>
    <w:p w:rsidR="00297368" w:rsidRDefault="00297368" w:rsidP="00E54474">
      <w:pPr>
        <w:tabs>
          <w:tab w:val="left" w:pos="5460"/>
        </w:tabs>
        <w:autoSpaceDE w:val="0"/>
        <w:autoSpaceDN w:val="0"/>
        <w:adjustRightInd w:val="0"/>
        <w:spacing w:after="0" w:line="280" w:lineRule="atLeast"/>
        <w:ind w:left="-851"/>
        <w:textAlignment w:val="baseline"/>
        <w:rPr>
          <w:sz w:val="21"/>
          <w:szCs w:val="21"/>
        </w:rPr>
      </w:pPr>
    </w:p>
    <w:p w:rsidR="00297368" w:rsidRDefault="00297368" w:rsidP="00E54474">
      <w:pPr>
        <w:tabs>
          <w:tab w:val="left" w:pos="5460"/>
        </w:tabs>
        <w:autoSpaceDE w:val="0"/>
        <w:autoSpaceDN w:val="0"/>
        <w:adjustRightInd w:val="0"/>
        <w:spacing w:after="0" w:line="280" w:lineRule="atLeast"/>
        <w:ind w:left="-851"/>
        <w:textAlignment w:val="baseline"/>
        <w:rPr>
          <w:sz w:val="21"/>
          <w:szCs w:val="21"/>
        </w:rPr>
      </w:pPr>
    </w:p>
    <w:p w:rsidR="00297368" w:rsidRDefault="00297368" w:rsidP="00E54474">
      <w:pPr>
        <w:tabs>
          <w:tab w:val="left" w:pos="5460"/>
        </w:tabs>
        <w:autoSpaceDE w:val="0"/>
        <w:autoSpaceDN w:val="0"/>
        <w:adjustRightInd w:val="0"/>
        <w:spacing w:after="0" w:line="280" w:lineRule="atLeast"/>
        <w:ind w:left="-851"/>
        <w:textAlignment w:val="baseline"/>
        <w:rPr>
          <w:sz w:val="21"/>
          <w:szCs w:val="21"/>
        </w:rPr>
      </w:pPr>
    </w:p>
    <w:p w:rsidR="00297368" w:rsidRDefault="00297368" w:rsidP="00E54474">
      <w:pPr>
        <w:tabs>
          <w:tab w:val="left" w:pos="5460"/>
        </w:tabs>
        <w:autoSpaceDE w:val="0"/>
        <w:autoSpaceDN w:val="0"/>
        <w:adjustRightInd w:val="0"/>
        <w:spacing w:after="0" w:line="280" w:lineRule="atLeast"/>
        <w:ind w:left="-851"/>
        <w:textAlignment w:val="baseline"/>
        <w:rPr>
          <w:sz w:val="21"/>
          <w:szCs w:val="21"/>
        </w:rPr>
      </w:pPr>
    </w:p>
    <w:p w:rsidR="00297368" w:rsidRDefault="00297368" w:rsidP="00E54474">
      <w:pPr>
        <w:tabs>
          <w:tab w:val="left" w:pos="5460"/>
        </w:tabs>
        <w:autoSpaceDE w:val="0"/>
        <w:autoSpaceDN w:val="0"/>
        <w:adjustRightInd w:val="0"/>
        <w:spacing w:after="0" w:line="280" w:lineRule="atLeast"/>
        <w:ind w:left="-851"/>
        <w:textAlignment w:val="baseline"/>
        <w:rPr>
          <w:sz w:val="21"/>
          <w:szCs w:val="21"/>
        </w:rPr>
      </w:pPr>
    </w:p>
    <w:p w:rsidR="00297368" w:rsidRDefault="00297368" w:rsidP="00E54474">
      <w:pPr>
        <w:tabs>
          <w:tab w:val="left" w:pos="5460"/>
        </w:tabs>
        <w:autoSpaceDE w:val="0"/>
        <w:autoSpaceDN w:val="0"/>
        <w:adjustRightInd w:val="0"/>
        <w:spacing w:after="0" w:line="280" w:lineRule="atLeast"/>
        <w:ind w:left="-851"/>
        <w:textAlignment w:val="baseline"/>
        <w:rPr>
          <w:sz w:val="21"/>
          <w:szCs w:val="21"/>
        </w:rPr>
      </w:pPr>
    </w:p>
    <w:p w:rsidR="00297368" w:rsidRDefault="00297368" w:rsidP="00E54474">
      <w:pPr>
        <w:tabs>
          <w:tab w:val="left" w:pos="5460"/>
        </w:tabs>
        <w:autoSpaceDE w:val="0"/>
        <w:autoSpaceDN w:val="0"/>
        <w:adjustRightInd w:val="0"/>
        <w:spacing w:after="0" w:line="280" w:lineRule="atLeast"/>
        <w:ind w:left="-851"/>
        <w:textAlignment w:val="baseline"/>
        <w:rPr>
          <w:sz w:val="21"/>
          <w:szCs w:val="21"/>
        </w:rPr>
      </w:pPr>
    </w:p>
    <w:p w:rsidR="00297368" w:rsidRDefault="00297368" w:rsidP="00E54474">
      <w:pPr>
        <w:tabs>
          <w:tab w:val="left" w:pos="5460"/>
        </w:tabs>
        <w:autoSpaceDE w:val="0"/>
        <w:autoSpaceDN w:val="0"/>
        <w:adjustRightInd w:val="0"/>
        <w:spacing w:after="0" w:line="280" w:lineRule="atLeast"/>
        <w:ind w:left="-851"/>
        <w:textAlignment w:val="baseline"/>
        <w:rPr>
          <w:sz w:val="21"/>
          <w:szCs w:val="21"/>
        </w:rPr>
      </w:pPr>
    </w:p>
    <w:p w:rsidR="00297368" w:rsidRDefault="00297368" w:rsidP="00E54474">
      <w:pPr>
        <w:tabs>
          <w:tab w:val="left" w:pos="5460"/>
        </w:tabs>
        <w:autoSpaceDE w:val="0"/>
        <w:autoSpaceDN w:val="0"/>
        <w:adjustRightInd w:val="0"/>
        <w:spacing w:after="0" w:line="280" w:lineRule="atLeast"/>
        <w:ind w:left="-851"/>
        <w:textAlignment w:val="baseline"/>
        <w:rPr>
          <w:sz w:val="21"/>
          <w:szCs w:val="21"/>
        </w:rPr>
      </w:pPr>
    </w:p>
    <w:p w:rsidR="00E54474" w:rsidRDefault="00E54474" w:rsidP="00E54474">
      <w:pPr>
        <w:tabs>
          <w:tab w:val="left" w:pos="5460"/>
        </w:tabs>
        <w:autoSpaceDE w:val="0"/>
        <w:autoSpaceDN w:val="0"/>
        <w:adjustRightInd w:val="0"/>
        <w:spacing w:after="0" w:line="280" w:lineRule="atLeast"/>
        <w:ind w:left="-851"/>
        <w:textAlignment w:val="baseline"/>
        <w:rPr>
          <w:b/>
          <w:sz w:val="21"/>
          <w:szCs w:val="21"/>
        </w:rPr>
      </w:pPr>
      <w:r>
        <w:rPr>
          <w:sz w:val="21"/>
          <w:szCs w:val="21"/>
        </w:rPr>
        <w:t>……………………………………………………</w:t>
      </w:r>
      <w:r>
        <w:rPr>
          <w:b/>
          <w:sz w:val="21"/>
          <w:szCs w:val="21"/>
        </w:rPr>
        <w:t>31-1-20Χ1</w:t>
      </w:r>
      <w:r>
        <w:rPr>
          <w:sz w:val="21"/>
          <w:szCs w:val="21"/>
        </w:rPr>
        <w:t>………………………………………………</w:t>
      </w:r>
      <w:r>
        <w:rPr>
          <w:b/>
          <w:sz w:val="21"/>
          <w:szCs w:val="21"/>
        </w:rPr>
        <w:t xml:space="preserve">          </w:t>
      </w:r>
    </w:p>
    <w:p w:rsidR="00E54474" w:rsidRDefault="00E54474" w:rsidP="00E54474">
      <w:pPr>
        <w:tabs>
          <w:tab w:val="left" w:pos="5970"/>
        </w:tabs>
        <w:autoSpaceDE w:val="0"/>
        <w:autoSpaceDN w:val="0"/>
        <w:adjustRightInd w:val="0"/>
        <w:spacing w:after="0" w:line="280" w:lineRule="atLeast"/>
        <w:ind w:left="-851"/>
        <w:textAlignment w:val="baseline"/>
        <w:rPr>
          <w:b/>
          <w:sz w:val="21"/>
          <w:szCs w:val="21"/>
        </w:rPr>
      </w:pPr>
      <w:r>
        <w:rPr>
          <w:b/>
          <w:sz w:val="21"/>
          <w:szCs w:val="21"/>
        </w:rPr>
        <w:t>70 Πωλήσεις</w:t>
      </w:r>
    </w:p>
    <w:p w:rsidR="00E54474" w:rsidRDefault="00E54474" w:rsidP="00E54474">
      <w:pPr>
        <w:tabs>
          <w:tab w:val="left" w:pos="5970"/>
        </w:tabs>
        <w:autoSpaceDE w:val="0"/>
        <w:autoSpaceDN w:val="0"/>
        <w:adjustRightInd w:val="0"/>
        <w:spacing w:after="0" w:line="280" w:lineRule="atLeast"/>
        <w:ind w:left="-851"/>
        <w:textAlignment w:val="baseline"/>
        <w:rPr>
          <w:sz w:val="21"/>
          <w:szCs w:val="21"/>
        </w:rPr>
      </w:pPr>
      <w:r>
        <w:rPr>
          <w:sz w:val="21"/>
          <w:szCs w:val="21"/>
        </w:rPr>
        <w:t>70.01 Πωλήσεις εμπορευμάτων (καθαρές) σε μη συνδεδεμένες οντότητες</w:t>
      </w:r>
    </w:p>
    <w:p w:rsidR="00E54474" w:rsidRDefault="00E54474" w:rsidP="00E54474">
      <w:pPr>
        <w:tabs>
          <w:tab w:val="left" w:pos="5970"/>
        </w:tabs>
        <w:autoSpaceDE w:val="0"/>
        <w:autoSpaceDN w:val="0"/>
        <w:adjustRightInd w:val="0"/>
        <w:spacing w:after="0" w:line="280" w:lineRule="atLeast"/>
        <w:ind w:left="-851"/>
        <w:textAlignment w:val="baseline"/>
        <w:rPr>
          <w:sz w:val="21"/>
          <w:szCs w:val="21"/>
        </w:rPr>
      </w:pPr>
      <w:r>
        <w:rPr>
          <w:sz w:val="21"/>
          <w:szCs w:val="21"/>
        </w:rPr>
        <w:t xml:space="preserve">70.01.01 Εμπόρευμα «Ε»                                                                                 24.200 </w:t>
      </w:r>
    </w:p>
    <w:p w:rsidR="00E54474" w:rsidRDefault="00E54474" w:rsidP="00E54474">
      <w:pPr>
        <w:tabs>
          <w:tab w:val="left" w:pos="5970"/>
        </w:tabs>
        <w:autoSpaceDE w:val="0"/>
        <w:autoSpaceDN w:val="0"/>
        <w:adjustRightInd w:val="0"/>
        <w:spacing w:after="0" w:line="280" w:lineRule="atLeast"/>
        <w:ind w:left="-851"/>
        <w:textAlignment w:val="baseline"/>
        <w:rPr>
          <w:b/>
          <w:sz w:val="21"/>
          <w:szCs w:val="21"/>
        </w:rPr>
      </w:pPr>
      <w:r>
        <w:rPr>
          <w:b/>
          <w:sz w:val="21"/>
          <w:szCs w:val="21"/>
        </w:rPr>
        <w:t xml:space="preserve">     61 Ζημίες επιμέτρησης περιουσιακών στοιχείων</w:t>
      </w:r>
    </w:p>
    <w:p w:rsidR="00E54474" w:rsidRDefault="00E54474" w:rsidP="00E54474">
      <w:pPr>
        <w:tabs>
          <w:tab w:val="left" w:pos="5970"/>
        </w:tabs>
        <w:autoSpaceDE w:val="0"/>
        <w:autoSpaceDN w:val="0"/>
        <w:adjustRightInd w:val="0"/>
        <w:spacing w:after="0" w:line="280" w:lineRule="atLeast"/>
        <w:ind w:left="-851"/>
        <w:textAlignment w:val="baseline"/>
        <w:rPr>
          <w:sz w:val="21"/>
          <w:szCs w:val="21"/>
        </w:rPr>
      </w:pPr>
      <w:r>
        <w:rPr>
          <w:sz w:val="21"/>
          <w:szCs w:val="21"/>
        </w:rPr>
        <w:t xml:space="preserve">     61.04 Απομείωση αποθεμάτων</w:t>
      </w:r>
      <w:r>
        <w:rPr>
          <w:sz w:val="21"/>
          <w:szCs w:val="21"/>
        </w:rPr>
        <w:tab/>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sz w:val="21"/>
          <w:szCs w:val="21"/>
        </w:rPr>
        <w:t xml:space="preserve">     61.04.01 Απομείωση εμπορεύματος «Ε»                                                                                                         1.200</w:t>
      </w:r>
    </w:p>
    <w:p w:rsidR="00E54474" w:rsidRDefault="00E54474" w:rsidP="00E54474">
      <w:pPr>
        <w:autoSpaceDE w:val="0"/>
        <w:autoSpaceDN w:val="0"/>
        <w:adjustRightInd w:val="0"/>
        <w:spacing w:after="0" w:line="280" w:lineRule="atLeast"/>
        <w:ind w:left="-851"/>
        <w:textAlignment w:val="baseline"/>
        <w:rPr>
          <w:b/>
          <w:sz w:val="21"/>
          <w:szCs w:val="21"/>
        </w:rPr>
      </w:pPr>
      <w:r>
        <w:rPr>
          <w:b/>
          <w:sz w:val="21"/>
          <w:szCs w:val="21"/>
        </w:rPr>
        <w:t xml:space="preserve">     70 Πωλήσεις αγαθών και υπηρεσιών</w:t>
      </w:r>
    </w:p>
    <w:p w:rsidR="00E54474" w:rsidRDefault="00E54474" w:rsidP="00E54474">
      <w:pPr>
        <w:tabs>
          <w:tab w:val="left" w:pos="5970"/>
        </w:tabs>
        <w:autoSpaceDE w:val="0"/>
        <w:autoSpaceDN w:val="0"/>
        <w:adjustRightInd w:val="0"/>
        <w:spacing w:after="0" w:line="280" w:lineRule="atLeast"/>
        <w:ind w:left="-851"/>
        <w:textAlignment w:val="baseline"/>
        <w:rPr>
          <w:sz w:val="21"/>
          <w:szCs w:val="21"/>
        </w:rPr>
      </w:pPr>
      <w:r>
        <w:rPr>
          <w:sz w:val="21"/>
          <w:szCs w:val="21"/>
        </w:rPr>
        <w:t xml:space="preserve">     70.01 Πωλήσεις εμπορευμάτων (καθαρές) σε μη συνδεδεμένες οντότητες</w:t>
      </w:r>
      <w:r>
        <w:rPr>
          <w:sz w:val="21"/>
          <w:szCs w:val="21"/>
        </w:rPr>
        <w:tab/>
      </w:r>
    </w:p>
    <w:p w:rsidR="00E54474" w:rsidRDefault="00E54474" w:rsidP="00E54474">
      <w:pPr>
        <w:tabs>
          <w:tab w:val="left" w:pos="5460"/>
        </w:tabs>
        <w:autoSpaceDE w:val="0"/>
        <w:autoSpaceDN w:val="0"/>
        <w:adjustRightInd w:val="0"/>
        <w:spacing w:after="0" w:line="280" w:lineRule="atLeast"/>
        <w:ind w:left="-851"/>
        <w:textAlignment w:val="baseline"/>
        <w:rPr>
          <w:sz w:val="21"/>
          <w:szCs w:val="21"/>
        </w:rPr>
      </w:pPr>
      <w:r>
        <w:rPr>
          <w:sz w:val="21"/>
          <w:szCs w:val="21"/>
        </w:rPr>
        <w:t xml:space="preserve">     70.01.04 Κόστος πωληθέντων εμπορεύματος «Ε»                                                                                        22.000</w:t>
      </w:r>
    </w:p>
    <w:p w:rsidR="00E54474" w:rsidRDefault="00E54474" w:rsidP="00E54474">
      <w:pPr>
        <w:autoSpaceDE w:val="0"/>
        <w:autoSpaceDN w:val="0"/>
        <w:adjustRightInd w:val="0"/>
        <w:spacing w:after="0" w:line="280" w:lineRule="atLeast"/>
        <w:ind w:left="-851"/>
        <w:textAlignment w:val="baseline"/>
        <w:rPr>
          <w:b/>
          <w:sz w:val="21"/>
          <w:szCs w:val="21"/>
        </w:rPr>
      </w:pPr>
      <w:r>
        <w:rPr>
          <w:b/>
          <w:sz w:val="21"/>
          <w:szCs w:val="21"/>
        </w:rPr>
        <w:t xml:space="preserve">     82 Αποτέλεσμα (κέρδη ή ζημίες) περιόδου</w:t>
      </w:r>
    </w:p>
    <w:p w:rsidR="00E54474" w:rsidRDefault="00E54474" w:rsidP="00E54474">
      <w:pPr>
        <w:autoSpaceDE w:val="0"/>
        <w:autoSpaceDN w:val="0"/>
        <w:adjustRightInd w:val="0"/>
        <w:spacing w:after="0" w:line="280" w:lineRule="atLeast"/>
        <w:ind w:left="-851"/>
        <w:textAlignment w:val="baseline"/>
        <w:rPr>
          <w:sz w:val="21"/>
          <w:szCs w:val="21"/>
        </w:rPr>
      </w:pPr>
      <w:r>
        <w:rPr>
          <w:b/>
          <w:sz w:val="21"/>
          <w:szCs w:val="21"/>
        </w:rPr>
        <w:t xml:space="preserve">     </w:t>
      </w:r>
      <w:r>
        <w:rPr>
          <w:sz w:val="21"/>
          <w:szCs w:val="21"/>
        </w:rPr>
        <w:t>82.01 Συγκέντρωση αποτελεσματικών λογαριασμών                                                                                      1.000</w:t>
      </w:r>
    </w:p>
    <w:p w:rsidR="00E54474" w:rsidRDefault="00E54474" w:rsidP="00E54474">
      <w:pPr>
        <w:tabs>
          <w:tab w:val="left" w:pos="5460"/>
        </w:tabs>
        <w:autoSpaceDE w:val="0"/>
        <w:autoSpaceDN w:val="0"/>
        <w:adjustRightInd w:val="0"/>
        <w:spacing w:after="0" w:line="280" w:lineRule="atLeast"/>
        <w:ind w:left="-851"/>
        <w:textAlignment w:val="baseline"/>
        <w:rPr>
          <w:b/>
          <w:sz w:val="21"/>
          <w:szCs w:val="21"/>
        </w:rPr>
      </w:pPr>
      <w:r>
        <w:rPr>
          <w:b/>
          <w:sz w:val="21"/>
          <w:szCs w:val="21"/>
        </w:rPr>
        <w:t xml:space="preserve">Μεταφορά πωλήσεων, ζημίας απομείωσης και κόστους πωληθέντων στα αποτελέσματα χρήσεως </w:t>
      </w:r>
      <w:r>
        <w:rPr>
          <w:b/>
          <w:sz w:val="21"/>
          <w:szCs w:val="21"/>
        </w:rPr>
        <w:tab/>
      </w:r>
    </w:p>
    <w:p w:rsidR="002F419B" w:rsidRDefault="002F419B" w:rsidP="00E54474">
      <w:pPr>
        <w:ind w:left="-851" w:right="-1192"/>
      </w:pPr>
    </w:p>
    <w:sectPr w:rsidR="002F419B" w:rsidSect="00E54474">
      <w:pgSz w:w="11906" w:h="16838"/>
      <w:pgMar w:top="1440" w:right="991"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UB-Helvetica">
    <w:altName w:val="Courier New"/>
    <w:panose1 w:val="00000000000000000000"/>
    <w:charset w:val="00"/>
    <w:family w:val="auto"/>
    <w:notTrueType/>
    <w:pitch w:val="variable"/>
    <w:sig w:usb0="00000003" w:usb1="00000000" w:usb2="00000000" w:usb3="00000000" w:csb0="00000001" w:csb1="00000000"/>
  </w:font>
  <w:font w:name="Minion Pro">
    <w:altName w:val="Times New Roman"/>
    <w:panose1 w:val="00000000000000000000"/>
    <w:charset w:val="00"/>
    <w:family w:val="roman"/>
    <w:notTrueType/>
    <w:pitch w:val="variable"/>
    <w:sig w:usb0="00000003" w:usb1="00000000" w:usb2="00000000" w:usb3="00000000" w:csb0="00000001" w:csb1="00000000"/>
  </w:font>
  <w:font w:name="PFTransit Bold">
    <w:altName w:val="Courier New"/>
    <w:charset w:val="A1"/>
    <w:family w:val="auto"/>
    <w:pitch w:val="variable"/>
    <w:sig w:usb0="00000001" w:usb1="00000000" w:usb2="00000000" w:usb3="00000000" w:csb0="0000009F" w:csb1="00000000"/>
  </w:font>
  <w:font w:name="Segoe UI">
    <w:panose1 w:val="020B0502040204020203"/>
    <w:charset w:val="A1"/>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A1"/>
    <w:family w:val="swiss"/>
    <w:pitch w:val="variable"/>
    <w:sig w:usb0="00000287" w:usb1="00000800" w:usb2="00000000" w:usb3="00000000" w:csb0="0000009F" w:csb1="00000000"/>
  </w:font>
  <w:font w:name="Book Antiqua">
    <w:panose1 w:val="02040602050305030304"/>
    <w:charset w:val="A1"/>
    <w:family w:val="roman"/>
    <w:pitch w:val="variable"/>
    <w:sig w:usb0="00000287" w:usb1="00000000" w:usb2="00000000" w:usb3="00000000" w:csb0="0000009F" w:csb1="00000000"/>
  </w:font>
  <w:font w:name="Palatino Linotype">
    <w:panose1 w:val="02040502050505030304"/>
    <w:charset w:val="A1"/>
    <w:family w:val="roman"/>
    <w:pitch w:val="variable"/>
    <w:sig w:usb0="E0000287" w:usb1="40000013" w:usb2="00000000" w:usb3="00000000" w:csb0="0000019F" w:csb1="00000000"/>
  </w:font>
  <w:font w:name="Arial">
    <w:panose1 w:val="020B0604020202020204"/>
    <w:charset w:val="A1"/>
    <w:family w:val="swiss"/>
    <w:pitch w:val="variable"/>
    <w:sig w:usb0="E0002AFF" w:usb1="C0007843" w:usb2="00000009" w:usb3="00000000" w:csb0="000001FF" w:csb1="00000000"/>
  </w:font>
  <w:font w:name="PFTransit Light">
    <w:altName w:val="Courier New"/>
    <w:panose1 w:val="00000000000000000000"/>
    <w:charset w:val="A1"/>
    <w:family w:val="auto"/>
    <w:notTrueType/>
    <w:pitch w:val="variable"/>
    <w:sig w:usb0="00000083" w:usb1="00000000" w:usb2="00000000" w:usb3="00000000" w:csb0="00000009"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4474"/>
    <w:rsid w:val="00186478"/>
    <w:rsid w:val="00297368"/>
    <w:rsid w:val="002F419B"/>
    <w:rsid w:val="00D81894"/>
    <w:rsid w:val="00DF2538"/>
    <w:rsid w:val="00E54474"/>
    <w:rsid w:val="00F00CC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4474"/>
    <w:pPr>
      <w:spacing w:after="120" w:line="360" w:lineRule="auto"/>
      <w:jc w:val="both"/>
    </w:pPr>
    <w:rPr>
      <w:rFonts w:ascii="Times New Roman" w:eastAsia="Times New Roman" w:hAnsi="Times New Roman" w:cs="Times New Roman"/>
      <w:sz w:val="24"/>
      <w:szCs w:val="24"/>
      <w:lang w:eastAsia="el-GR"/>
    </w:rPr>
  </w:style>
  <w:style w:type="paragraph" w:styleId="1">
    <w:name w:val="heading 1"/>
    <w:basedOn w:val="a"/>
    <w:link w:val="1Char"/>
    <w:qFormat/>
    <w:rsid w:val="00E54474"/>
    <w:pPr>
      <w:spacing w:before="100" w:beforeAutospacing="1" w:after="100" w:afterAutospacing="1" w:line="240" w:lineRule="auto"/>
      <w:jc w:val="left"/>
      <w:outlineLvl w:val="0"/>
    </w:pPr>
    <w:rPr>
      <w:b/>
      <w:bCs/>
      <w:kern w:val="36"/>
      <w:sz w:val="48"/>
      <w:szCs w:val="48"/>
    </w:rPr>
  </w:style>
  <w:style w:type="paragraph" w:styleId="2">
    <w:name w:val="heading 2"/>
    <w:basedOn w:val="a"/>
    <w:link w:val="2Char"/>
    <w:uiPriority w:val="9"/>
    <w:semiHidden/>
    <w:unhideWhenUsed/>
    <w:qFormat/>
    <w:rsid w:val="00E54474"/>
    <w:pPr>
      <w:spacing w:before="100" w:beforeAutospacing="1" w:after="100" w:afterAutospacing="1" w:line="240" w:lineRule="auto"/>
      <w:jc w:val="left"/>
      <w:outlineLvl w:val="1"/>
    </w:pPr>
    <w:rPr>
      <w:b/>
      <w:bCs/>
      <w:sz w:val="36"/>
      <w:szCs w:val="36"/>
    </w:rPr>
  </w:style>
  <w:style w:type="paragraph" w:styleId="3">
    <w:name w:val="heading 3"/>
    <w:basedOn w:val="a"/>
    <w:link w:val="3Char"/>
    <w:uiPriority w:val="9"/>
    <w:semiHidden/>
    <w:unhideWhenUsed/>
    <w:qFormat/>
    <w:rsid w:val="00E54474"/>
    <w:pPr>
      <w:spacing w:before="100" w:beforeAutospacing="1" w:after="100" w:afterAutospacing="1" w:line="240" w:lineRule="auto"/>
      <w:jc w:val="left"/>
      <w:outlineLvl w:val="2"/>
    </w:pPr>
    <w:rPr>
      <w:b/>
      <w:bCs/>
      <w:sz w:val="27"/>
      <w:szCs w:val="27"/>
    </w:rPr>
  </w:style>
  <w:style w:type="paragraph" w:styleId="4">
    <w:name w:val="heading 4"/>
    <w:basedOn w:val="a"/>
    <w:link w:val="4Char"/>
    <w:uiPriority w:val="9"/>
    <w:semiHidden/>
    <w:unhideWhenUsed/>
    <w:qFormat/>
    <w:rsid w:val="00E54474"/>
    <w:pPr>
      <w:spacing w:before="100" w:beforeAutospacing="1" w:after="100" w:afterAutospacing="1" w:line="240" w:lineRule="auto"/>
      <w:jc w:val="left"/>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E54474"/>
    <w:rPr>
      <w:rFonts w:ascii="Times New Roman" w:eastAsia="Times New Roman" w:hAnsi="Times New Roman" w:cs="Times New Roman"/>
      <w:b/>
      <w:bCs/>
      <w:kern w:val="36"/>
      <w:sz w:val="48"/>
      <w:szCs w:val="48"/>
      <w:lang w:eastAsia="el-GR"/>
    </w:rPr>
  </w:style>
  <w:style w:type="character" w:customStyle="1" w:styleId="2Char">
    <w:name w:val="Επικεφαλίδα 2 Char"/>
    <w:basedOn w:val="a0"/>
    <w:link w:val="2"/>
    <w:uiPriority w:val="9"/>
    <w:semiHidden/>
    <w:rsid w:val="00E54474"/>
    <w:rPr>
      <w:rFonts w:ascii="Times New Roman" w:eastAsia="Times New Roman" w:hAnsi="Times New Roman" w:cs="Times New Roman"/>
      <w:b/>
      <w:bCs/>
      <w:sz w:val="36"/>
      <w:szCs w:val="36"/>
      <w:lang w:eastAsia="el-GR"/>
    </w:rPr>
  </w:style>
  <w:style w:type="character" w:customStyle="1" w:styleId="3Char">
    <w:name w:val="Επικεφαλίδα 3 Char"/>
    <w:basedOn w:val="a0"/>
    <w:link w:val="3"/>
    <w:uiPriority w:val="9"/>
    <w:semiHidden/>
    <w:rsid w:val="00E54474"/>
    <w:rPr>
      <w:rFonts w:ascii="Times New Roman" w:eastAsia="Times New Roman" w:hAnsi="Times New Roman" w:cs="Times New Roman"/>
      <w:b/>
      <w:bCs/>
      <w:sz w:val="27"/>
      <w:szCs w:val="27"/>
      <w:lang w:eastAsia="el-GR"/>
    </w:rPr>
  </w:style>
  <w:style w:type="character" w:customStyle="1" w:styleId="4Char">
    <w:name w:val="Επικεφαλίδα 4 Char"/>
    <w:basedOn w:val="a0"/>
    <w:link w:val="4"/>
    <w:uiPriority w:val="9"/>
    <w:semiHidden/>
    <w:rsid w:val="00E54474"/>
    <w:rPr>
      <w:rFonts w:ascii="Times New Roman" w:eastAsia="Times New Roman" w:hAnsi="Times New Roman" w:cs="Times New Roman"/>
      <w:b/>
      <w:bCs/>
      <w:sz w:val="24"/>
      <w:szCs w:val="24"/>
      <w:lang w:eastAsia="el-GR"/>
    </w:rPr>
  </w:style>
  <w:style w:type="character" w:styleId="-">
    <w:name w:val="Hyperlink"/>
    <w:basedOn w:val="a0"/>
    <w:uiPriority w:val="99"/>
    <w:semiHidden/>
    <w:unhideWhenUsed/>
    <w:rsid w:val="00E54474"/>
    <w:rPr>
      <w:color w:val="0000FF"/>
      <w:u w:val="single"/>
    </w:rPr>
  </w:style>
  <w:style w:type="character" w:styleId="-0">
    <w:name w:val="FollowedHyperlink"/>
    <w:basedOn w:val="a0"/>
    <w:uiPriority w:val="99"/>
    <w:semiHidden/>
    <w:unhideWhenUsed/>
    <w:rsid w:val="00E54474"/>
    <w:rPr>
      <w:color w:val="800080" w:themeColor="followedHyperlink"/>
      <w:u w:val="single"/>
    </w:rPr>
  </w:style>
  <w:style w:type="paragraph" w:styleId="Web">
    <w:name w:val="Normal (Web)"/>
    <w:basedOn w:val="a"/>
    <w:uiPriority w:val="99"/>
    <w:semiHidden/>
    <w:unhideWhenUsed/>
    <w:rsid w:val="00E54474"/>
    <w:pPr>
      <w:spacing w:before="100" w:beforeAutospacing="1" w:after="100" w:afterAutospacing="1" w:line="240" w:lineRule="auto"/>
      <w:jc w:val="left"/>
    </w:pPr>
  </w:style>
  <w:style w:type="paragraph" w:styleId="10">
    <w:name w:val="toc 1"/>
    <w:basedOn w:val="a"/>
    <w:next w:val="a"/>
    <w:autoRedefine/>
    <w:uiPriority w:val="39"/>
    <w:semiHidden/>
    <w:unhideWhenUsed/>
    <w:rsid w:val="00E54474"/>
    <w:pPr>
      <w:tabs>
        <w:tab w:val="right" w:leader="dot" w:pos="9356"/>
      </w:tabs>
      <w:spacing w:after="0" w:line="240" w:lineRule="auto"/>
      <w:ind w:left="-851"/>
      <w:jc w:val="left"/>
    </w:pPr>
    <w:rPr>
      <w:rFonts w:ascii="Tahoma" w:hAnsi="Tahoma"/>
      <w:sz w:val="20"/>
    </w:rPr>
  </w:style>
  <w:style w:type="paragraph" w:styleId="20">
    <w:name w:val="toc 2"/>
    <w:basedOn w:val="a"/>
    <w:next w:val="a"/>
    <w:autoRedefine/>
    <w:uiPriority w:val="99"/>
    <w:semiHidden/>
    <w:unhideWhenUsed/>
    <w:rsid w:val="00E54474"/>
    <w:pPr>
      <w:spacing w:after="0" w:line="240" w:lineRule="auto"/>
      <w:ind w:left="240"/>
      <w:jc w:val="left"/>
    </w:pPr>
  </w:style>
  <w:style w:type="paragraph" w:styleId="30">
    <w:name w:val="toc 3"/>
    <w:basedOn w:val="a"/>
    <w:next w:val="a"/>
    <w:autoRedefine/>
    <w:uiPriority w:val="99"/>
    <w:semiHidden/>
    <w:unhideWhenUsed/>
    <w:rsid w:val="00E54474"/>
    <w:pPr>
      <w:spacing w:after="0" w:line="240" w:lineRule="auto"/>
      <w:ind w:left="480"/>
      <w:jc w:val="left"/>
    </w:pPr>
  </w:style>
  <w:style w:type="paragraph" w:styleId="a3">
    <w:name w:val="footnote text"/>
    <w:basedOn w:val="a"/>
    <w:link w:val="Char"/>
    <w:uiPriority w:val="99"/>
    <w:semiHidden/>
    <w:unhideWhenUsed/>
    <w:rsid w:val="00E54474"/>
    <w:pPr>
      <w:spacing w:after="0" w:line="240" w:lineRule="auto"/>
      <w:jc w:val="left"/>
    </w:pPr>
    <w:rPr>
      <w:sz w:val="20"/>
      <w:szCs w:val="20"/>
    </w:rPr>
  </w:style>
  <w:style w:type="character" w:customStyle="1" w:styleId="Char">
    <w:name w:val="Κείμενο υποσημείωσης Char"/>
    <w:basedOn w:val="a0"/>
    <w:link w:val="a3"/>
    <w:uiPriority w:val="99"/>
    <w:semiHidden/>
    <w:rsid w:val="00E54474"/>
    <w:rPr>
      <w:rFonts w:ascii="Times New Roman" w:eastAsia="Times New Roman" w:hAnsi="Times New Roman" w:cs="Times New Roman"/>
      <w:sz w:val="20"/>
      <w:szCs w:val="20"/>
      <w:lang w:eastAsia="el-GR"/>
    </w:rPr>
  </w:style>
  <w:style w:type="paragraph" w:styleId="a4">
    <w:name w:val="header"/>
    <w:basedOn w:val="a"/>
    <w:link w:val="Char0"/>
    <w:uiPriority w:val="99"/>
    <w:semiHidden/>
    <w:unhideWhenUsed/>
    <w:rsid w:val="00E54474"/>
    <w:pPr>
      <w:tabs>
        <w:tab w:val="center" w:pos="4153"/>
        <w:tab w:val="right" w:pos="8306"/>
      </w:tabs>
      <w:spacing w:after="0" w:line="240" w:lineRule="auto"/>
    </w:pPr>
  </w:style>
  <w:style w:type="character" w:customStyle="1" w:styleId="Char0">
    <w:name w:val="Κεφαλίδα Char"/>
    <w:basedOn w:val="a0"/>
    <w:link w:val="a4"/>
    <w:uiPriority w:val="99"/>
    <w:semiHidden/>
    <w:rsid w:val="00E54474"/>
    <w:rPr>
      <w:rFonts w:ascii="Times New Roman" w:eastAsia="Times New Roman" w:hAnsi="Times New Roman" w:cs="Times New Roman"/>
      <w:sz w:val="24"/>
      <w:szCs w:val="24"/>
      <w:lang w:eastAsia="el-GR"/>
    </w:rPr>
  </w:style>
  <w:style w:type="paragraph" w:styleId="a5">
    <w:name w:val="footer"/>
    <w:basedOn w:val="a"/>
    <w:link w:val="Char1"/>
    <w:uiPriority w:val="99"/>
    <w:semiHidden/>
    <w:unhideWhenUsed/>
    <w:rsid w:val="00E54474"/>
    <w:pPr>
      <w:tabs>
        <w:tab w:val="center" w:pos="4153"/>
        <w:tab w:val="right" w:pos="8306"/>
      </w:tabs>
      <w:spacing w:after="0" w:line="240" w:lineRule="auto"/>
    </w:pPr>
  </w:style>
  <w:style w:type="character" w:customStyle="1" w:styleId="Char1">
    <w:name w:val="Υποσέλιδο Char"/>
    <w:basedOn w:val="a0"/>
    <w:link w:val="a5"/>
    <w:uiPriority w:val="99"/>
    <w:semiHidden/>
    <w:rsid w:val="00E54474"/>
    <w:rPr>
      <w:rFonts w:ascii="Times New Roman" w:eastAsia="Times New Roman" w:hAnsi="Times New Roman" w:cs="Times New Roman"/>
      <w:sz w:val="24"/>
      <w:szCs w:val="24"/>
      <w:lang w:eastAsia="el-GR"/>
    </w:rPr>
  </w:style>
  <w:style w:type="paragraph" w:styleId="a6">
    <w:name w:val="endnote text"/>
    <w:basedOn w:val="a"/>
    <w:link w:val="Char2"/>
    <w:uiPriority w:val="99"/>
    <w:semiHidden/>
    <w:unhideWhenUsed/>
    <w:rsid w:val="00E54474"/>
    <w:pPr>
      <w:spacing w:after="0" w:line="240" w:lineRule="auto"/>
      <w:jc w:val="left"/>
    </w:pPr>
    <w:rPr>
      <w:sz w:val="20"/>
      <w:szCs w:val="20"/>
    </w:rPr>
  </w:style>
  <w:style w:type="character" w:customStyle="1" w:styleId="Char2">
    <w:name w:val="Κείμενο σημείωσης τέλους Char"/>
    <w:basedOn w:val="a0"/>
    <w:link w:val="a6"/>
    <w:uiPriority w:val="99"/>
    <w:semiHidden/>
    <w:rsid w:val="00E54474"/>
    <w:rPr>
      <w:rFonts w:ascii="Times New Roman" w:eastAsia="Times New Roman" w:hAnsi="Times New Roman" w:cs="Times New Roman"/>
      <w:sz w:val="20"/>
      <w:szCs w:val="20"/>
      <w:lang w:eastAsia="el-GR"/>
    </w:rPr>
  </w:style>
  <w:style w:type="paragraph" w:styleId="a7">
    <w:name w:val="Body Text"/>
    <w:basedOn w:val="a"/>
    <w:link w:val="Char3"/>
    <w:uiPriority w:val="99"/>
    <w:semiHidden/>
    <w:unhideWhenUsed/>
    <w:rsid w:val="00E54474"/>
    <w:pPr>
      <w:spacing w:after="0" w:line="240" w:lineRule="auto"/>
      <w:jc w:val="center"/>
    </w:pPr>
    <w:rPr>
      <w:u w:val="single"/>
      <w:lang w:val="x-none" w:eastAsia="en-US"/>
    </w:rPr>
  </w:style>
  <w:style w:type="character" w:customStyle="1" w:styleId="Char3">
    <w:name w:val="Σώμα κειμένου Char"/>
    <w:basedOn w:val="a0"/>
    <w:link w:val="a7"/>
    <w:uiPriority w:val="99"/>
    <w:semiHidden/>
    <w:rsid w:val="00E54474"/>
    <w:rPr>
      <w:rFonts w:ascii="Times New Roman" w:eastAsia="Times New Roman" w:hAnsi="Times New Roman" w:cs="Times New Roman"/>
      <w:sz w:val="24"/>
      <w:szCs w:val="24"/>
      <w:u w:val="single"/>
      <w:lang w:val="x-none"/>
    </w:rPr>
  </w:style>
  <w:style w:type="paragraph" w:styleId="a8">
    <w:name w:val="Body Text Indent"/>
    <w:basedOn w:val="a"/>
    <w:link w:val="Char4"/>
    <w:uiPriority w:val="99"/>
    <w:semiHidden/>
    <w:unhideWhenUsed/>
    <w:rsid w:val="00E54474"/>
    <w:pPr>
      <w:spacing w:after="0" w:line="240" w:lineRule="auto"/>
      <w:ind w:left="720" w:hanging="360"/>
    </w:pPr>
    <w:rPr>
      <w:bCs/>
      <w:iCs/>
      <w:lang w:val="x-none" w:eastAsia="en-US"/>
    </w:rPr>
  </w:style>
  <w:style w:type="character" w:customStyle="1" w:styleId="Char4">
    <w:name w:val="Σώμα κείμενου με εσοχή Char"/>
    <w:basedOn w:val="a0"/>
    <w:link w:val="a8"/>
    <w:uiPriority w:val="99"/>
    <w:semiHidden/>
    <w:rsid w:val="00E54474"/>
    <w:rPr>
      <w:rFonts w:ascii="Times New Roman" w:eastAsia="Times New Roman" w:hAnsi="Times New Roman" w:cs="Times New Roman"/>
      <w:bCs/>
      <w:iCs/>
      <w:sz w:val="24"/>
      <w:szCs w:val="24"/>
      <w:lang w:val="x-none"/>
    </w:rPr>
  </w:style>
  <w:style w:type="paragraph" w:styleId="21">
    <w:name w:val="Body Text 2"/>
    <w:basedOn w:val="a"/>
    <w:link w:val="2Char0"/>
    <w:uiPriority w:val="99"/>
    <w:semiHidden/>
    <w:unhideWhenUsed/>
    <w:rsid w:val="00E54474"/>
    <w:pPr>
      <w:spacing w:after="0" w:line="240" w:lineRule="auto"/>
      <w:jc w:val="left"/>
    </w:pPr>
    <w:rPr>
      <w:b/>
      <w:bCs/>
      <w:u w:val="single"/>
      <w:lang w:val="x-none" w:eastAsia="en-US"/>
    </w:rPr>
  </w:style>
  <w:style w:type="character" w:customStyle="1" w:styleId="2Char0">
    <w:name w:val="Σώμα κείμενου 2 Char"/>
    <w:basedOn w:val="a0"/>
    <w:link w:val="21"/>
    <w:uiPriority w:val="99"/>
    <w:semiHidden/>
    <w:rsid w:val="00E54474"/>
    <w:rPr>
      <w:rFonts w:ascii="Times New Roman" w:eastAsia="Times New Roman" w:hAnsi="Times New Roman" w:cs="Times New Roman"/>
      <w:b/>
      <w:bCs/>
      <w:sz w:val="24"/>
      <w:szCs w:val="24"/>
      <w:u w:val="single"/>
      <w:lang w:val="x-none"/>
    </w:rPr>
  </w:style>
  <w:style w:type="paragraph" w:styleId="a9">
    <w:name w:val="Block Text"/>
    <w:aliases w:val="Τμήμα κείμενου"/>
    <w:basedOn w:val="a"/>
    <w:uiPriority w:val="99"/>
    <w:semiHidden/>
    <w:unhideWhenUsed/>
    <w:rsid w:val="00E54474"/>
    <w:pPr>
      <w:spacing w:after="0" w:line="240" w:lineRule="auto"/>
      <w:ind w:left="-720" w:right="-1074"/>
    </w:pPr>
    <w:rPr>
      <w:lang w:eastAsia="en-US"/>
    </w:rPr>
  </w:style>
  <w:style w:type="paragraph" w:styleId="aa">
    <w:name w:val="Balloon Text"/>
    <w:basedOn w:val="a"/>
    <w:link w:val="Char5"/>
    <w:uiPriority w:val="99"/>
    <w:semiHidden/>
    <w:unhideWhenUsed/>
    <w:rsid w:val="00E54474"/>
    <w:pPr>
      <w:spacing w:after="0" w:line="240" w:lineRule="auto"/>
    </w:pPr>
    <w:rPr>
      <w:rFonts w:ascii="Tahoma" w:hAnsi="Tahoma" w:cs="Tahoma"/>
      <w:sz w:val="16"/>
      <w:szCs w:val="16"/>
    </w:rPr>
  </w:style>
  <w:style w:type="character" w:customStyle="1" w:styleId="Char5">
    <w:name w:val="Κείμενο πλαισίου Char"/>
    <w:basedOn w:val="a0"/>
    <w:link w:val="aa"/>
    <w:uiPriority w:val="99"/>
    <w:semiHidden/>
    <w:rsid w:val="00E54474"/>
    <w:rPr>
      <w:rFonts w:ascii="Tahoma" w:eastAsia="Times New Roman" w:hAnsi="Tahoma" w:cs="Tahoma"/>
      <w:sz w:val="16"/>
      <w:szCs w:val="16"/>
      <w:lang w:eastAsia="el-GR"/>
    </w:rPr>
  </w:style>
  <w:style w:type="character" w:customStyle="1" w:styleId="Char6">
    <w:name w:val="Χωρίς διάστιχο Char"/>
    <w:link w:val="ab"/>
    <w:uiPriority w:val="1"/>
    <w:locked/>
    <w:rsid w:val="00E54474"/>
    <w:rPr>
      <w:rFonts w:ascii="Times New Roman" w:eastAsia="Times New Roman" w:hAnsi="Times New Roman" w:cs="Times New Roman"/>
    </w:rPr>
  </w:style>
  <w:style w:type="paragraph" w:styleId="ab">
    <w:name w:val="No Spacing"/>
    <w:link w:val="Char6"/>
    <w:uiPriority w:val="1"/>
    <w:qFormat/>
    <w:rsid w:val="00E54474"/>
    <w:pPr>
      <w:spacing w:after="0" w:line="240" w:lineRule="auto"/>
    </w:pPr>
    <w:rPr>
      <w:rFonts w:ascii="Times New Roman" w:eastAsia="Times New Roman" w:hAnsi="Times New Roman" w:cs="Times New Roman"/>
    </w:rPr>
  </w:style>
  <w:style w:type="paragraph" w:styleId="ac">
    <w:name w:val="List Paragraph"/>
    <w:basedOn w:val="a"/>
    <w:uiPriority w:val="34"/>
    <w:qFormat/>
    <w:rsid w:val="00E54474"/>
    <w:pPr>
      <w:ind w:left="720"/>
      <w:contextualSpacing/>
    </w:pPr>
  </w:style>
  <w:style w:type="paragraph" w:customStyle="1" w:styleId="IASBNormal">
    <w:name w:val="IASB Normal"/>
    <w:uiPriority w:val="99"/>
    <w:rsid w:val="00E54474"/>
    <w:pPr>
      <w:spacing w:before="100" w:after="100" w:line="360" w:lineRule="auto"/>
      <w:jc w:val="both"/>
    </w:pPr>
    <w:rPr>
      <w:rFonts w:ascii="Times New Roman" w:eastAsia="Times New Roman" w:hAnsi="Times New Roman" w:cs="Times New Roman"/>
      <w:sz w:val="19"/>
      <w:szCs w:val="20"/>
      <w:lang w:val="en-US" w:eastAsia="zh-CN"/>
    </w:rPr>
  </w:style>
  <w:style w:type="paragraph" w:customStyle="1" w:styleId="keimeno">
    <w:name w:val="keimeno"/>
    <w:basedOn w:val="a"/>
    <w:uiPriority w:val="99"/>
    <w:rsid w:val="00E54474"/>
    <w:pPr>
      <w:autoSpaceDE w:val="0"/>
      <w:autoSpaceDN w:val="0"/>
      <w:adjustRightInd w:val="0"/>
      <w:spacing w:after="0" w:line="280" w:lineRule="atLeast"/>
      <w:ind w:firstLine="283"/>
    </w:pPr>
    <w:rPr>
      <w:rFonts w:ascii="UB-Helvetica" w:eastAsia="Calibri" w:hAnsi="UB-Helvetica" w:cs="UB-Helvetica"/>
      <w:color w:val="000000"/>
      <w:sz w:val="20"/>
      <w:szCs w:val="20"/>
    </w:rPr>
  </w:style>
  <w:style w:type="paragraph" w:customStyle="1" w:styleId="NoParagraphStyle">
    <w:name w:val="[No Paragraph Style]"/>
    <w:uiPriority w:val="99"/>
    <w:rsid w:val="00E54474"/>
    <w:pPr>
      <w:autoSpaceDE w:val="0"/>
      <w:autoSpaceDN w:val="0"/>
      <w:adjustRightInd w:val="0"/>
      <w:spacing w:after="0" w:line="288" w:lineRule="auto"/>
    </w:pPr>
    <w:rPr>
      <w:rFonts w:ascii="Minion Pro" w:eastAsia="Calibri" w:hAnsi="Minion Pro" w:cs="Minion Pro"/>
      <w:color w:val="000000"/>
      <w:sz w:val="24"/>
      <w:szCs w:val="24"/>
      <w:lang w:eastAsia="el-GR"/>
    </w:rPr>
  </w:style>
  <w:style w:type="paragraph" w:customStyle="1" w:styleId="esoxes">
    <w:name w:val="esoxes"/>
    <w:basedOn w:val="keimeno"/>
    <w:uiPriority w:val="99"/>
    <w:rsid w:val="00E54474"/>
    <w:pPr>
      <w:ind w:left="283" w:hanging="283"/>
    </w:pPr>
  </w:style>
  <w:style w:type="paragraph" w:customStyle="1" w:styleId="askiseistitlos">
    <w:name w:val="askiseis_titlos"/>
    <w:basedOn w:val="keimeno"/>
    <w:uiPriority w:val="99"/>
    <w:rsid w:val="00E54474"/>
    <w:rPr>
      <w:rFonts w:ascii="PFTransit Bold" w:hAnsi="PFTransit Bold" w:cs="PFTransit Bold"/>
      <w:sz w:val="21"/>
      <w:szCs w:val="21"/>
    </w:rPr>
  </w:style>
  <w:style w:type="paragraph" w:customStyle="1" w:styleId="pinakaskeimeno">
    <w:name w:val="pinakas_keimeno"/>
    <w:basedOn w:val="keimeno"/>
    <w:uiPriority w:val="99"/>
    <w:rsid w:val="00E54474"/>
    <w:pPr>
      <w:spacing w:line="240" w:lineRule="atLeast"/>
      <w:ind w:firstLine="0"/>
      <w:jc w:val="left"/>
    </w:pPr>
    <w:rPr>
      <w:w w:val="95"/>
      <w:sz w:val="19"/>
      <w:szCs w:val="19"/>
    </w:rPr>
  </w:style>
  <w:style w:type="paragraph" w:customStyle="1" w:styleId="11">
    <w:name w:val="1.1"/>
    <w:basedOn w:val="keimeno"/>
    <w:uiPriority w:val="99"/>
    <w:rsid w:val="00E54474"/>
    <w:pPr>
      <w:tabs>
        <w:tab w:val="left" w:pos="652"/>
      </w:tabs>
      <w:spacing w:before="57" w:after="57"/>
      <w:ind w:firstLine="0"/>
      <w:jc w:val="left"/>
    </w:pPr>
    <w:rPr>
      <w:rFonts w:ascii="PFTransit Bold" w:hAnsi="PFTransit Bold" w:cs="PFTransit Bold"/>
      <w:w w:val="97"/>
      <w:position w:val="-12"/>
      <w:sz w:val="26"/>
      <w:szCs w:val="26"/>
    </w:rPr>
  </w:style>
  <w:style w:type="paragraph" w:customStyle="1" w:styleId="Default">
    <w:name w:val="Default"/>
    <w:rsid w:val="00E5447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ListParagraph1">
    <w:name w:val="List Paragraph1"/>
    <w:basedOn w:val="a"/>
    <w:uiPriority w:val="34"/>
    <w:qFormat/>
    <w:rsid w:val="00E54474"/>
    <w:pPr>
      <w:ind w:left="720"/>
    </w:pPr>
  </w:style>
  <w:style w:type="paragraph" w:customStyle="1" w:styleId="style6">
    <w:name w:val="style6"/>
    <w:basedOn w:val="a"/>
    <w:uiPriority w:val="99"/>
    <w:rsid w:val="00E54474"/>
    <w:pPr>
      <w:spacing w:before="100" w:beforeAutospacing="1" w:after="100" w:afterAutospacing="1" w:line="240" w:lineRule="auto"/>
      <w:jc w:val="left"/>
    </w:pPr>
  </w:style>
  <w:style w:type="paragraph" w:customStyle="1" w:styleId="style2">
    <w:name w:val="style2"/>
    <w:basedOn w:val="a"/>
    <w:uiPriority w:val="99"/>
    <w:rsid w:val="00E54474"/>
    <w:pPr>
      <w:spacing w:before="100" w:beforeAutospacing="1" w:after="100" w:afterAutospacing="1" w:line="240" w:lineRule="auto"/>
      <w:jc w:val="left"/>
    </w:pPr>
  </w:style>
  <w:style w:type="paragraph" w:customStyle="1" w:styleId="style3">
    <w:name w:val="style3"/>
    <w:basedOn w:val="a"/>
    <w:uiPriority w:val="99"/>
    <w:rsid w:val="00E54474"/>
    <w:pPr>
      <w:spacing w:before="100" w:beforeAutospacing="1" w:after="100" w:afterAutospacing="1" w:line="240" w:lineRule="auto"/>
      <w:jc w:val="left"/>
    </w:pPr>
  </w:style>
  <w:style w:type="paragraph" w:customStyle="1" w:styleId="style4">
    <w:name w:val="style4"/>
    <w:basedOn w:val="a"/>
    <w:uiPriority w:val="99"/>
    <w:rsid w:val="00E54474"/>
    <w:pPr>
      <w:spacing w:before="100" w:beforeAutospacing="1" w:after="100" w:afterAutospacing="1" w:line="240" w:lineRule="auto"/>
      <w:jc w:val="left"/>
    </w:pPr>
  </w:style>
  <w:style w:type="paragraph" w:customStyle="1" w:styleId="style5">
    <w:name w:val="style5"/>
    <w:basedOn w:val="a"/>
    <w:uiPriority w:val="99"/>
    <w:rsid w:val="00E54474"/>
    <w:pPr>
      <w:spacing w:before="100" w:beforeAutospacing="1" w:after="100" w:afterAutospacing="1" w:line="240" w:lineRule="auto"/>
      <w:jc w:val="left"/>
    </w:pPr>
  </w:style>
  <w:style w:type="paragraph" w:customStyle="1" w:styleId="Style50">
    <w:name w:val="Style5"/>
    <w:basedOn w:val="a"/>
    <w:uiPriority w:val="99"/>
    <w:rsid w:val="00E54474"/>
    <w:pPr>
      <w:widowControl w:val="0"/>
      <w:autoSpaceDE w:val="0"/>
      <w:autoSpaceDN w:val="0"/>
      <w:adjustRightInd w:val="0"/>
      <w:spacing w:after="0" w:line="240" w:lineRule="auto"/>
      <w:jc w:val="left"/>
    </w:pPr>
  </w:style>
  <w:style w:type="paragraph" w:customStyle="1" w:styleId="Style7">
    <w:name w:val="Style7"/>
    <w:basedOn w:val="a"/>
    <w:uiPriority w:val="99"/>
    <w:rsid w:val="00E54474"/>
    <w:pPr>
      <w:widowControl w:val="0"/>
      <w:autoSpaceDE w:val="0"/>
      <w:autoSpaceDN w:val="0"/>
      <w:adjustRightInd w:val="0"/>
      <w:spacing w:after="0" w:line="240" w:lineRule="auto"/>
    </w:pPr>
  </w:style>
  <w:style w:type="paragraph" w:customStyle="1" w:styleId="Style40">
    <w:name w:val="Style4"/>
    <w:basedOn w:val="a"/>
    <w:uiPriority w:val="99"/>
    <w:rsid w:val="00E54474"/>
    <w:pPr>
      <w:widowControl w:val="0"/>
      <w:autoSpaceDE w:val="0"/>
      <w:autoSpaceDN w:val="0"/>
      <w:adjustRightInd w:val="0"/>
      <w:spacing w:after="0" w:line="240" w:lineRule="auto"/>
      <w:jc w:val="left"/>
    </w:pPr>
  </w:style>
  <w:style w:type="paragraph" w:customStyle="1" w:styleId="Style10">
    <w:name w:val="Style10"/>
    <w:basedOn w:val="a"/>
    <w:uiPriority w:val="99"/>
    <w:rsid w:val="00E54474"/>
    <w:pPr>
      <w:widowControl w:val="0"/>
      <w:autoSpaceDE w:val="0"/>
      <w:autoSpaceDN w:val="0"/>
      <w:adjustRightInd w:val="0"/>
      <w:spacing w:after="0" w:line="269" w:lineRule="exact"/>
      <w:ind w:hanging="1099"/>
      <w:jc w:val="left"/>
    </w:pPr>
  </w:style>
  <w:style w:type="paragraph" w:customStyle="1" w:styleId="Style15">
    <w:name w:val="Style15"/>
    <w:basedOn w:val="a"/>
    <w:uiPriority w:val="99"/>
    <w:rsid w:val="00E54474"/>
    <w:pPr>
      <w:widowControl w:val="0"/>
      <w:autoSpaceDE w:val="0"/>
      <w:autoSpaceDN w:val="0"/>
      <w:adjustRightInd w:val="0"/>
      <w:spacing w:after="0" w:line="240" w:lineRule="auto"/>
      <w:jc w:val="left"/>
    </w:pPr>
  </w:style>
  <w:style w:type="paragraph" w:customStyle="1" w:styleId="Style22">
    <w:name w:val="Style22"/>
    <w:basedOn w:val="a"/>
    <w:uiPriority w:val="99"/>
    <w:rsid w:val="00E54474"/>
    <w:pPr>
      <w:widowControl w:val="0"/>
      <w:autoSpaceDE w:val="0"/>
      <w:autoSpaceDN w:val="0"/>
      <w:adjustRightInd w:val="0"/>
      <w:spacing w:after="0" w:line="240" w:lineRule="auto"/>
      <w:jc w:val="right"/>
    </w:pPr>
  </w:style>
  <w:style w:type="paragraph" w:customStyle="1" w:styleId="Style31">
    <w:name w:val="Style31"/>
    <w:basedOn w:val="a"/>
    <w:uiPriority w:val="99"/>
    <w:rsid w:val="00E54474"/>
    <w:pPr>
      <w:widowControl w:val="0"/>
      <w:autoSpaceDE w:val="0"/>
      <w:autoSpaceDN w:val="0"/>
      <w:adjustRightInd w:val="0"/>
      <w:spacing w:after="0" w:line="240" w:lineRule="auto"/>
      <w:jc w:val="left"/>
    </w:pPr>
  </w:style>
  <w:style w:type="paragraph" w:customStyle="1" w:styleId="Style34">
    <w:name w:val="Style34"/>
    <w:basedOn w:val="a"/>
    <w:uiPriority w:val="99"/>
    <w:rsid w:val="00E54474"/>
    <w:pPr>
      <w:widowControl w:val="0"/>
      <w:autoSpaceDE w:val="0"/>
      <w:autoSpaceDN w:val="0"/>
      <w:adjustRightInd w:val="0"/>
      <w:spacing w:after="0" w:line="278" w:lineRule="exact"/>
      <w:jc w:val="right"/>
    </w:pPr>
  </w:style>
  <w:style w:type="paragraph" w:customStyle="1" w:styleId="Style36">
    <w:name w:val="Style36"/>
    <w:basedOn w:val="a"/>
    <w:uiPriority w:val="99"/>
    <w:rsid w:val="00E54474"/>
    <w:pPr>
      <w:widowControl w:val="0"/>
      <w:autoSpaceDE w:val="0"/>
      <w:autoSpaceDN w:val="0"/>
      <w:adjustRightInd w:val="0"/>
      <w:spacing w:after="0" w:line="283" w:lineRule="exact"/>
      <w:jc w:val="left"/>
    </w:pPr>
  </w:style>
  <w:style w:type="paragraph" w:customStyle="1" w:styleId="Style25">
    <w:name w:val="Style25"/>
    <w:basedOn w:val="a"/>
    <w:uiPriority w:val="99"/>
    <w:rsid w:val="00E54474"/>
    <w:pPr>
      <w:widowControl w:val="0"/>
      <w:autoSpaceDE w:val="0"/>
      <w:autoSpaceDN w:val="0"/>
      <w:adjustRightInd w:val="0"/>
      <w:spacing w:after="0" w:line="341" w:lineRule="exact"/>
    </w:pPr>
  </w:style>
  <w:style w:type="paragraph" w:customStyle="1" w:styleId="Style27">
    <w:name w:val="Style27"/>
    <w:basedOn w:val="a"/>
    <w:uiPriority w:val="99"/>
    <w:rsid w:val="00E54474"/>
    <w:pPr>
      <w:widowControl w:val="0"/>
      <w:autoSpaceDE w:val="0"/>
      <w:autoSpaceDN w:val="0"/>
      <w:adjustRightInd w:val="0"/>
      <w:spacing w:after="0" w:line="269" w:lineRule="exact"/>
      <w:ind w:hanging="1190"/>
      <w:jc w:val="left"/>
    </w:pPr>
  </w:style>
  <w:style w:type="paragraph" w:customStyle="1" w:styleId="Style32">
    <w:name w:val="Style32"/>
    <w:basedOn w:val="a"/>
    <w:uiPriority w:val="99"/>
    <w:rsid w:val="00E54474"/>
    <w:pPr>
      <w:widowControl w:val="0"/>
      <w:autoSpaceDE w:val="0"/>
      <w:autoSpaceDN w:val="0"/>
      <w:adjustRightInd w:val="0"/>
      <w:spacing w:after="0" w:line="240" w:lineRule="auto"/>
      <w:jc w:val="left"/>
    </w:pPr>
  </w:style>
  <w:style w:type="paragraph" w:customStyle="1" w:styleId="Style33">
    <w:name w:val="Style33"/>
    <w:basedOn w:val="a"/>
    <w:uiPriority w:val="99"/>
    <w:rsid w:val="00E54474"/>
    <w:pPr>
      <w:widowControl w:val="0"/>
      <w:autoSpaceDE w:val="0"/>
      <w:autoSpaceDN w:val="0"/>
      <w:adjustRightInd w:val="0"/>
      <w:spacing w:after="0" w:line="250" w:lineRule="exact"/>
      <w:jc w:val="left"/>
    </w:pPr>
  </w:style>
  <w:style w:type="character" w:customStyle="1" w:styleId="22">
    <w:name w:val="Υποσημείωση (2)_"/>
    <w:link w:val="23"/>
    <w:locked/>
    <w:rsid w:val="00E54474"/>
    <w:rPr>
      <w:rFonts w:ascii="Segoe UI" w:hAnsi="Segoe UI" w:cs="Segoe UI"/>
      <w:sz w:val="21"/>
      <w:szCs w:val="21"/>
      <w:shd w:val="clear" w:color="auto" w:fill="FFFFFF"/>
    </w:rPr>
  </w:style>
  <w:style w:type="paragraph" w:customStyle="1" w:styleId="23">
    <w:name w:val="Υποσημείωση (2)"/>
    <w:basedOn w:val="a"/>
    <w:link w:val="22"/>
    <w:rsid w:val="00E54474"/>
    <w:pPr>
      <w:shd w:val="clear" w:color="auto" w:fill="FFFFFF"/>
      <w:spacing w:after="0" w:line="264" w:lineRule="exact"/>
    </w:pPr>
    <w:rPr>
      <w:rFonts w:ascii="Segoe UI" w:eastAsiaTheme="minorHAnsi" w:hAnsi="Segoe UI" w:cs="Segoe UI"/>
      <w:sz w:val="21"/>
      <w:szCs w:val="21"/>
      <w:lang w:eastAsia="en-US"/>
    </w:rPr>
  </w:style>
  <w:style w:type="paragraph" w:customStyle="1" w:styleId="xl31">
    <w:name w:val="xl31"/>
    <w:basedOn w:val="a"/>
    <w:uiPriority w:val="99"/>
    <w:rsid w:val="00E54474"/>
    <w:pPr>
      <w:pBdr>
        <w:bottom w:val="double" w:sz="6" w:space="0" w:color="auto"/>
      </w:pBdr>
      <w:spacing w:before="100" w:beforeAutospacing="1" w:after="100" w:afterAutospacing="1" w:line="240" w:lineRule="auto"/>
      <w:jc w:val="right"/>
    </w:pPr>
    <w:rPr>
      <w:rFonts w:eastAsia="Arial Unicode MS"/>
    </w:rPr>
  </w:style>
  <w:style w:type="paragraph" w:customStyle="1" w:styleId="Style20">
    <w:name w:val="Style2"/>
    <w:basedOn w:val="a"/>
    <w:uiPriority w:val="99"/>
    <w:rsid w:val="00E54474"/>
    <w:pPr>
      <w:widowControl w:val="0"/>
      <w:autoSpaceDE w:val="0"/>
      <w:autoSpaceDN w:val="0"/>
      <w:adjustRightInd w:val="0"/>
      <w:spacing w:after="0" w:line="406" w:lineRule="exact"/>
      <w:ind w:hanging="797"/>
    </w:pPr>
  </w:style>
  <w:style w:type="paragraph" w:customStyle="1" w:styleId="Style1">
    <w:name w:val="Style1"/>
    <w:basedOn w:val="a"/>
    <w:uiPriority w:val="99"/>
    <w:rsid w:val="00E54474"/>
    <w:pPr>
      <w:widowControl w:val="0"/>
      <w:autoSpaceDE w:val="0"/>
      <w:autoSpaceDN w:val="0"/>
      <w:adjustRightInd w:val="0"/>
      <w:spacing w:after="0" w:line="401" w:lineRule="exact"/>
    </w:pPr>
  </w:style>
  <w:style w:type="paragraph" w:customStyle="1" w:styleId="Style8">
    <w:name w:val="Style8"/>
    <w:basedOn w:val="a"/>
    <w:uiPriority w:val="99"/>
    <w:rsid w:val="00E54474"/>
    <w:pPr>
      <w:widowControl w:val="0"/>
      <w:autoSpaceDE w:val="0"/>
      <w:autoSpaceDN w:val="0"/>
      <w:adjustRightInd w:val="0"/>
      <w:spacing w:after="0" w:line="240" w:lineRule="auto"/>
    </w:pPr>
  </w:style>
  <w:style w:type="paragraph" w:customStyle="1" w:styleId="Style9">
    <w:name w:val="Style9"/>
    <w:basedOn w:val="a"/>
    <w:uiPriority w:val="99"/>
    <w:rsid w:val="00E54474"/>
    <w:pPr>
      <w:widowControl w:val="0"/>
      <w:autoSpaceDE w:val="0"/>
      <w:autoSpaceDN w:val="0"/>
      <w:adjustRightInd w:val="0"/>
      <w:spacing w:after="0" w:line="285" w:lineRule="exact"/>
      <w:jc w:val="left"/>
    </w:pPr>
  </w:style>
  <w:style w:type="paragraph" w:customStyle="1" w:styleId="Style12">
    <w:name w:val="Style12"/>
    <w:basedOn w:val="a"/>
    <w:uiPriority w:val="99"/>
    <w:rsid w:val="00E54474"/>
    <w:pPr>
      <w:widowControl w:val="0"/>
      <w:autoSpaceDE w:val="0"/>
      <w:autoSpaceDN w:val="0"/>
      <w:adjustRightInd w:val="0"/>
      <w:spacing w:after="0" w:line="283" w:lineRule="exact"/>
      <w:jc w:val="right"/>
    </w:pPr>
  </w:style>
  <w:style w:type="paragraph" w:customStyle="1" w:styleId="Style11">
    <w:name w:val="Style11"/>
    <w:basedOn w:val="a"/>
    <w:uiPriority w:val="99"/>
    <w:rsid w:val="00E54474"/>
    <w:pPr>
      <w:widowControl w:val="0"/>
      <w:autoSpaceDE w:val="0"/>
      <w:autoSpaceDN w:val="0"/>
      <w:adjustRightInd w:val="0"/>
      <w:spacing w:after="0" w:line="403" w:lineRule="exact"/>
      <w:ind w:hanging="826"/>
    </w:pPr>
  </w:style>
  <w:style w:type="paragraph" w:customStyle="1" w:styleId="Style200">
    <w:name w:val="Style20"/>
    <w:basedOn w:val="a"/>
    <w:uiPriority w:val="99"/>
    <w:rsid w:val="00E54474"/>
    <w:pPr>
      <w:widowControl w:val="0"/>
      <w:autoSpaceDE w:val="0"/>
      <w:autoSpaceDN w:val="0"/>
      <w:adjustRightInd w:val="0"/>
      <w:spacing w:after="0" w:line="240" w:lineRule="auto"/>
      <w:jc w:val="center"/>
    </w:pPr>
  </w:style>
  <w:style w:type="paragraph" w:customStyle="1" w:styleId="Style37">
    <w:name w:val="Style37"/>
    <w:basedOn w:val="a"/>
    <w:uiPriority w:val="99"/>
    <w:rsid w:val="00E54474"/>
    <w:pPr>
      <w:widowControl w:val="0"/>
      <w:autoSpaceDE w:val="0"/>
      <w:autoSpaceDN w:val="0"/>
      <w:adjustRightInd w:val="0"/>
      <w:spacing w:after="0" w:line="403" w:lineRule="exact"/>
      <w:ind w:hanging="547"/>
    </w:pPr>
  </w:style>
  <w:style w:type="paragraph" w:customStyle="1" w:styleId="Style400">
    <w:name w:val="Style40"/>
    <w:basedOn w:val="a"/>
    <w:uiPriority w:val="99"/>
    <w:rsid w:val="00E54474"/>
    <w:pPr>
      <w:widowControl w:val="0"/>
      <w:autoSpaceDE w:val="0"/>
      <w:autoSpaceDN w:val="0"/>
      <w:adjustRightInd w:val="0"/>
      <w:spacing w:after="0" w:line="240" w:lineRule="auto"/>
      <w:jc w:val="left"/>
    </w:pPr>
  </w:style>
  <w:style w:type="paragraph" w:customStyle="1" w:styleId="Style56">
    <w:name w:val="Style56"/>
    <w:basedOn w:val="a"/>
    <w:uiPriority w:val="99"/>
    <w:rsid w:val="00E54474"/>
    <w:pPr>
      <w:widowControl w:val="0"/>
      <w:autoSpaceDE w:val="0"/>
      <w:autoSpaceDN w:val="0"/>
      <w:adjustRightInd w:val="0"/>
      <w:spacing w:after="0" w:line="406" w:lineRule="exact"/>
      <w:ind w:hanging="408"/>
    </w:pPr>
  </w:style>
  <w:style w:type="paragraph" w:customStyle="1" w:styleId="Style51">
    <w:name w:val="Style51"/>
    <w:basedOn w:val="a"/>
    <w:uiPriority w:val="99"/>
    <w:rsid w:val="00E54474"/>
    <w:pPr>
      <w:widowControl w:val="0"/>
      <w:autoSpaceDE w:val="0"/>
      <w:autoSpaceDN w:val="0"/>
      <w:adjustRightInd w:val="0"/>
      <w:spacing w:after="0" w:line="240" w:lineRule="auto"/>
      <w:jc w:val="left"/>
    </w:pPr>
  </w:style>
  <w:style w:type="paragraph" w:customStyle="1" w:styleId="Style30">
    <w:name w:val="Style30"/>
    <w:basedOn w:val="a"/>
    <w:uiPriority w:val="99"/>
    <w:rsid w:val="00E54474"/>
    <w:pPr>
      <w:widowControl w:val="0"/>
      <w:autoSpaceDE w:val="0"/>
      <w:autoSpaceDN w:val="0"/>
      <w:adjustRightInd w:val="0"/>
      <w:spacing w:after="0" w:line="408" w:lineRule="exact"/>
      <w:ind w:hanging="960"/>
    </w:pPr>
  </w:style>
  <w:style w:type="character" w:styleId="ad">
    <w:name w:val="footnote reference"/>
    <w:uiPriority w:val="99"/>
    <w:semiHidden/>
    <w:unhideWhenUsed/>
    <w:rsid w:val="00E54474"/>
    <w:rPr>
      <w:rFonts w:ascii="Times New Roman" w:hAnsi="Times New Roman" w:cs="Times New Roman" w:hint="default"/>
      <w:vertAlign w:val="superscript"/>
    </w:rPr>
  </w:style>
  <w:style w:type="character" w:styleId="ae">
    <w:name w:val="endnote reference"/>
    <w:semiHidden/>
    <w:unhideWhenUsed/>
    <w:rsid w:val="00E54474"/>
    <w:rPr>
      <w:vertAlign w:val="superscript"/>
    </w:rPr>
  </w:style>
  <w:style w:type="character" w:styleId="af">
    <w:name w:val="Subtle Emphasis"/>
    <w:uiPriority w:val="19"/>
    <w:qFormat/>
    <w:rsid w:val="00E54474"/>
    <w:rPr>
      <w:i/>
      <w:iCs/>
      <w:color w:val="808080"/>
    </w:rPr>
  </w:style>
  <w:style w:type="character" w:customStyle="1" w:styleId="dipligrammi">
    <w:name w:val="dipli_grammi"/>
    <w:uiPriority w:val="99"/>
    <w:rsid w:val="00E54474"/>
    <w:rPr>
      <w:u w:val="double"/>
    </w:rPr>
  </w:style>
  <w:style w:type="character" w:customStyle="1" w:styleId="monigrammi">
    <w:name w:val="moni_grammi"/>
    <w:uiPriority w:val="99"/>
    <w:rsid w:val="00E54474"/>
    <w:rPr>
      <w:u w:val="thick"/>
    </w:rPr>
  </w:style>
  <w:style w:type="character" w:customStyle="1" w:styleId="apple-converted-space">
    <w:name w:val="apple-converted-space"/>
    <w:basedOn w:val="a0"/>
    <w:rsid w:val="00E54474"/>
  </w:style>
  <w:style w:type="character" w:customStyle="1" w:styleId="fontstyle13">
    <w:name w:val="fontstyle13"/>
    <w:basedOn w:val="a0"/>
    <w:rsid w:val="00E54474"/>
  </w:style>
  <w:style w:type="character" w:customStyle="1" w:styleId="fontstyle12">
    <w:name w:val="fontstyle12"/>
    <w:basedOn w:val="a0"/>
    <w:rsid w:val="00E54474"/>
  </w:style>
  <w:style w:type="character" w:customStyle="1" w:styleId="fontstyle15">
    <w:name w:val="fontstyle15"/>
    <w:basedOn w:val="a0"/>
    <w:rsid w:val="00E54474"/>
  </w:style>
  <w:style w:type="character" w:customStyle="1" w:styleId="fontstyle11">
    <w:name w:val="fontstyle11"/>
    <w:basedOn w:val="a0"/>
    <w:rsid w:val="00E54474"/>
  </w:style>
  <w:style w:type="character" w:customStyle="1" w:styleId="FontStyle49">
    <w:name w:val="Font Style49"/>
    <w:uiPriority w:val="99"/>
    <w:rsid w:val="00E54474"/>
    <w:rPr>
      <w:rFonts w:ascii="Times New Roman" w:hAnsi="Times New Roman" w:cs="Times New Roman" w:hint="default"/>
      <w:b/>
      <w:bCs/>
      <w:sz w:val="20"/>
      <w:szCs w:val="20"/>
    </w:rPr>
  </w:style>
  <w:style w:type="character" w:customStyle="1" w:styleId="FontStyle60">
    <w:name w:val="Font Style60"/>
    <w:uiPriority w:val="99"/>
    <w:rsid w:val="00E54474"/>
    <w:rPr>
      <w:rFonts w:ascii="Times New Roman" w:hAnsi="Times New Roman" w:cs="Times New Roman" w:hint="default"/>
      <w:sz w:val="22"/>
      <w:szCs w:val="22"/>
    </w:rPr>
  </w:style>
  <w:style w:type="character" w:customStyle="1" w:styleId="FontStyle120">
    <w:name w:val="Font Style12"/>
    <w:uiPriority w:val="99"/>
    <w:rsid w:val="00E54474"/>
    <w:rPr>
      <w:rFonts w:ascii="Times New Roman" w:hAnsi="Times New Roman" w:cs="Times New Roman" w:hint="default"/>
      <w:sz w:val="22"/>
      <w:szCs w:val="22"/>
    </w:rPr>
  </w:style>
  <w:style w:type="character" w:customStyle="1" w:styleId="FontStyle69">
    <w:name w:val="Font Style69"/>
    <w:uiPriority w:val="99"/>
    <w:rsid w:val="00E54474"/>
    <w:rPr>
      <w:rFonts w:ascii="Arial Narrow" w:hAnsi="Arial Narrow" w:cs="Arial Narrow" w:hint="default"/>
      <w:sz w:val="14"/>
      <w:szCs w:val="14"/>
    </w:rPr>
  </w:style>
  <w:style w:type="character" w:customStyle="1" w:styleId="FontStyle61">
    <w:name w:val="Font Style61"/>
    <w:uiPriority w:val="99"/>
    <w:rsid w:val="00E54474"/>
    <w:rPr>
      <w:rFonts w:ascii="Calibri" w:hAnsi="Calibri" w:cs="Calibri" w:hint="default"/>
      <w:sz w:val="20"/>
      <w:szCs w:val="20"/>
    </w:rPr>
  </w:style>
  <w:style w:type="character" w:customStyle="1" w:styleId="FontStyle62">
    <w:name w:val="Font Style62"/>
    <w:uiPriority w:val="99"/>
    <w:rsid w:val="00E54474"/>
    <w:rPr>
      <w:rFonts w:ascii="Calibri" w:hAnsi="Calibri" w:cs="Calibri" w:hint="default"/>
      <w:sz w:val="16"/>
      <w:szCs w:val="16"/>
    </w:rPr>
  </w:style>
  <w:style w:type="character" w:customStyle="1" w:styleId="FontStyle56">
    <w:name w:val="Font Style56"/>
    <w:uiPriority w:val="99"/>
    <w:rsid w:val="00E54474"/>
    <w:rPr>
      <w:rFonts w:ascii="Book Antiqua" w:hAnsi="Book Antiqua" w:cs="Book Antiqua" w:hint="default"/>
      <w:sz w:val="10"/>
      <w:szCs w:val="10"/>
    </w:rPr>
  </w:style>
  <w:style w:type="character" w:customStyle="1" w:styleId="FontStyle57">
    <w:name w:val="Font Style57"/>
    <w:uiPriority w:val="99"/>
    <w:rsid w:val="00E54474"/>
    <w:rPr>
      <w:rFonts w:ascii="Palatino Linotype" w:hAnsi="Palatino Linotype" w:cs="Palatino Linotype" w:hint="default"/>
      <w:spacing w:val="30"/>
      <w:sz w:val="10"/>
      <w:szCs w:val="10"/>
    </w:rPr>
  </w:style>
  <w:style w:type="character" w:customStyle="1" w:styleId="FontStyle58">
    <w:name w:val="Font Style58"/>
    <w:uiPriority w:val="99"/>
    <w:rsid w:val="00E54474"/>
    <w:rPr>
      <w:rFonts w:ascii="Times New Roman" w:hAnsi="Times New Roman" w:cs="Times New Roman" w:hint="default"/>
      <w:b/>
      <w:bCs/>
      <w:smallCaps/>
      <w:sz w:val="10"/>
      <w:szCs w:val="10"/>
    </w:rPr>
  </w:style>
  <w:style w:type="character" w:customStyle="1" w:styleId="FontStyle59">
    <w:name w:val="Font Style59"/>
    <w:uiPriority w:val="99"/>
    <w:rsid w:val="00E54474"/>
    <w:rPr>
      <w:rFonts w:ascii="Calibri" w:hAnsi="Calibri" w:cs="Calibri" w:hint="default"/>
      <w:b/>
      <w:bCs/>
      <w:i/>
      <w:iCs/>
      <w:w w:val="50"/>
      <w:sz w:val="16"/>
      <w:szCs w:val="16"/>
    </w:rPr>
  </w:style>
  <w:style w:type="character" w:customStyle="1" w:styleId="FontStyle53">
    <w:name w:val="Font Style53"/>
    <w:uiPriority w:val="99"/>
    <w:rsid w:val="00E54474"/>
    <w:rPr>
      <w:rFonts w:ascii="Times New Roman" w:hAnsi="Times New Roman" w:cs="Times New Roman" w:hint="default"/>
      <w:b/>
      <w:bCs/>
      <w:sz w:val="20"/>
      <w:szCs w:val="20"/>
    </w:rPr>
  </w:style>
  <w:style w:type="character" w:customStyle="1" w:styleId="FontStyle54">
    <w:name w:val="Font Style54"/>
    <w:uiPriority w:val="99"/>
    <w:rsid w:val="00E54474"/>
    <w:rPr>
      <w:rFonts w:ascii="Times New Roman" w:hAnsi="Times New Roman" w:cs="Times New Roman" w:hint="default"/>
      <w:i/>
      <w:iCs/>
      <w:sz w:val="20"/>
      <w:szCs w:val="20"/>
    </w:rPr>
  </w:style>
  <w:style w:type="character" w:customStyle="1" w:styleId="FontStyle55">
    <w:name w:val="Font Style55"/>
    <w:uiPriority w:val="99"/>
    <w:rsid w:val="00E54474"/>
    <w:rPr>
      <w:rFonts w:ascii="Times New Roman" w:hAnsi="Times New Roman" w:cs="Times New Roman" w:hint="default"/>
      <w:b/>
      <w:bCs/>
      <w:smallCaps/>
      <w:sz w:val="18"/>
      <w:szCs w:val="18"/>
    </w:rPr>
  </w:style>
  <w:style w:type="character" w:customStyle="1" w:styleId="FontStyle64">
    <w:name w:val="Font Style64"/>
    <w:uiPriority w:val="99"/>
    <w:rsid w:val="00E54474"/>
    <w:rPr>
      <w:rFonts w:ascii="Times New Roman" w:hAnsi="Times New Roman" w:cs="Times New Roman" w:hint="default"/>
      <w:b/>
      <w:bCs/>
      <w:sz w:val="22"/>
      <w:szCs w:val="22"/>
    </w:rPr>
  </w:style>
  <w:style w:type="character" w:customStyle="1" w:styleId="FontStyle63">
    <w:name w:val="Font Style63"/>
    <w:uiPriority w:val="99"/>
    <w:rsid w:val="00E54474"/>
    <w:rPr>
      <w:rFonts w:ascii="Calibri" w:hAnsi="Calibri" w:cs="Calibri" w:hint="default"/>
      <w:b/>
      <w:bCs/>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4474"/>
    <w:pPr>
      <w:spacing w:after="120" w:line="360" w:lineRule="auto"/>
      <w:jc w:val="both"/>
    </w:pPr>
    <w:rPr>
      <w:rFonts w:ascii="Times New Roman" w:eastAsia="Times New Roman" w:hAnsi="Times New Roman" w:cs="Times New Roman"/>
      <w:sz w:val="24"/>
      <w:szCs w:val="24"/>
      <w:lang w:eastAsia="el-GR"/>
    </w:rPr>
  </w:style>
  <w:style w:type="paragraph" w:styleId="1">
    <w:name w:val="heading 1"/>
    <w:basedOn w:val="a"/>
    <w:link w:val="1Char"/>
    <w:qFormat/>
    <w:rsid w:val="00E54474"/>
    <w:pPr>
      <w:spacing w:before="100" w:beforeAutospacing="1" w:after="100" w:afterAutospacing="1" w:line="240" w:lineRule="auto"/>
      <w:jc w:val="left"/>
      <w:outlineLvl w:val="0"/>
    </w:pPr>
    <w:rPr>
      <w:b/>
      <w:bCs/>
      <w:kern w:val="36"/>
      <w:sz w:val="48"/>
      <w:szCs w:val="48"/>
    </w:rPr>
  </w:style>
  <w:style w:type="paragraph" w:styleId="2">
    <w:name w:val="heading 2"/>
    <w:basedOn w:val="a"/>
    <w:link w:val="2Char"/>
    <w:uiPriority w:val="9"/>
    <w:semiHidden/>
    <w:unhideWhenUsed/>
    <w:qFormat/>
    <w:rsid w:val="00E54474"/>
    <w:pPr>
      <w:spacing w:before="100" w:beforeAutospacing="1" w:after="100" w:afterAutospacing="1" w:line="240" w:lineRule="auto"/>
      <w:jc w:val="left"/>
      <w:outlineLvl w:val="1"/>
    </w:pPr>
    <w:rPr>
      <w:b/>
      <w:bCs/>
      <w:sz w:val="36"/>
      <w:szCs w:val="36"/>
    </w:rPr>
  </w:style>
  <w:style w:type="paragraph" w:styleId="3">
    <w:name w:val="heading 3"/>
    <w:basedOn w:val="a"/>
    <w:link w:val="3Char"/>
    <w:uiPriority w:val="9"/>
    <w:semiHidden/>
    <w:unhideWhenUsed/>
    <w:qFormat/>
    <w:rsid w:val="00E54474"/>
    <w:pPr>
      <w:spacing w:before="100" w:beforeAutospacing="1" w:after="100" w:afterAutospacing="1" w:line="240" w:lineRule="auto"/>
      <w:jc w:val="left"/>
      <w:outlineLvl w:val="2"/>
    </w:pPr>
    <w:rPr>
      <w:b/>
      <w:bCs/>
      <w:sz w:val="27"/>
      <w:szCs w:val="27"/>
    </w:rPr>
  </w:style>
  <w:style w:type="paragraph" w:styleId="4">
    <w:name w:val="heading 4"/>
    <w:basedOn w:val="a"/>
    <w:link w:val="4Char"/>
    <w:uiPriority w:val="9"/>
    <w:semiHidden/>
    <w:unhideWhenUsed/>
    <w:qFormat/>
    <w:rsid w:val="00E54474"/>
    <w:pPr>
      <w:spacing w:before="100" w:beforeAutospacing="1" w:after="100" w:afterAutospacing="1" w:line="240" w:lineRule="auto"/>
      <w:jc w:val="left"/>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E54474"/>
    <w:rPr>
      <w:rFonts w:ascii="Times New Roman" w:eastAsia="Times New Roman" w:hAnsi="Times New Roman" w:cs="Times New Roman"/>
      <w:b/>
      <w:bCs/>
      <w:kern w:val="36"/>
      <w:sz w:val="48"/>
      <w:szCs w:val="48"/>
      <w:lang w:eastAsia="el-GR"/>
    </w:rPr>
  </w:style>
  <w:style w:type="character" w:customStyle="1" w:styleId="2Char">
    <w:name w:val="Επικεφαλίδα 2 Char"/>
    <w:basedOn w:val="a0"/>
    <w:link w:val="2"/>
    <w:uiPriority w:val="9"/>
    <w:semiHidden/>
    <w:rsid w:val="00E54474"/>
    <w:rPr>
      <w:rFonts w:ascii="Times New Roman" w:eastAsia="Times New Roman" w:hAnsi="Times New Roman" w:cs="Times New Roman"/>
      <w:b/>
      <w:bCs/>
      <w:sz w:val="36"/>
      <w:szCs w:val="36"/>
      <w:lang w:eastAsia="el-GR"/>
    </w:rPr>
  </w:style>
  <w:style w:type="character" w:customStyle="1" w:styleId="3Char">
    <w:name w:val="Επικεφαλίδα 3 Char"/>
    <w:basedOn w:val="a0"/>
    <w:link w:val="3"/>
    <w:uiPriority w:val="9"/>
    <w:semiHidden/>
    <w:rsid w:val="00E54474"/>
    <w:rPr>
      <w:rFonts w:ascii="Times New Roman" w:eastAsia="Times New Roman" w:hAnsi="Times New Roman" w:cs="Times New Roman"/>
      <w:b/>
      <w:bCs/>
      <w:sz w:val="27"/>
      <w:szCs w:val="27"/>
      <w:lang w:eastAsia="el-GR"/>
    </w:rPr>
  </w:style>
  <w:style w:type="character" w:customStyle="1" w:styleId="4Char">
    <w:name w:val="Επικεφαλίδα 4 Char"/>
    <w:basedOn w:val="a0"/>
    <w:link w:val="4"/>
    <w:uiPriority w:val="9"/>
    <w:semiHidden/>
    <w:rsid w:val="00E54474"/>
    <w:rPr>
      <w:rFonts w:ascii="Times New Roman" w:eastAsia="Times New Roman" w:hAnsi="Times New Roman" w:cs="Times New Roman"/>
      <w:b/>
      <w:bCs/>
      <w:sz w:val="24"/>
      <w:szCs w:val="24"/>
      <w:lang w:eastAsia="el-GR"/>
    </w:rPr>
  </w:style>
  <w:style w:type="character" w:styleId="-">
    <w:name w:val="Hyperlink"/>
    <w:basedOn w:val="a0"/>
    <w:uiPriority w:val="99"/>
    <w:semiHidden/>
    <w:unhideWhenUsed/>
    <w:rsid w:val="00E54474"/>
    <w:rPr>
      <w:color w:val="0000FF"/>
      <w:u w:val="single"/>
    </w:rPr>
  </w:style>
  <w:style w:type="character" w:styleId="-0">
    <w:name w:val="FollowedHyperlink"/>
    <w:basedOn w:val="a0"/>
    <w:uiPriority w:val="99"/>
    <w:semiHidden/>
    <w:unhideWhenUsed/>
    <w:rsid w:val="00E54474"/>
    <w:rPr>
      <w:color w:val="800080" w:themeColor="followedHyperlink"/>
      <w:u w:val="single"/>
    </w:rPr>
  </w:style>
  <w:style w:type="paragraph" w:styleId="Web">
    <w:name w:val="Normal (Web)"/>
    <w:basedOn w:val="a"/>
    <w:uiPriority w:val="99"/>
    <w:semiHidden/>
    <w:unhideWhenUsed/>
    <w:rsid w:val="00E54474"/>
    <w:pPr>
      <w:spacing w:before="100" w:beforeAutospacing="1" w:after="100" w:afterAutospacing="1" w:line="240" w:lineRule="auto"/>
      <w:jc w:val="left"/>
    </w:pPr>
  </w:style>
  <w:style w:type="paragraph" w:styleId="10">
    <w:name w:val="toc 1"/>
    <w:basedOn w:val="a"/>
    <w:next w:val="a"/>
    <w:autoRedefine/>
    <w:uiPriority w:val="39"/>
    <w:semiHidden/>
    <w:unhideWhenUsed/>
    <w:rsid w:val="00E54474"/>
    <w:pPr>
      <w:tabs>
        <w:tab w:val="right" w:leader="dot" w:pos="9356"/>
      </w:tabs>
      <w:spacing w:after="0" w:line="240" w:lineRule="auto"/>
      <w:ind w:left="-851"/>
      <w:jc w:val="left"/>
    </w:pPr>
    <w:rPr>
      <w:rFonts w:ascii="Tahoma" w:hAnsi="Tahoma"/>
      <w:sz w:val="20"/>
    </w:rPr>
  </w:style>
  <w:style w:type="paragraph" w:styleId="20">
    <w:name w:val="toc 2"/>
    <w:basedOn w:val="a"/>
    <w:next w:val="a"/>
    <w:autoRedefine/>
    <w:uiPriority w:val="99"/>
    <w:semiHidden/>
    <w:unhideWhenUsed/>
    <w:rsid w:val="00E54474"/>
    <w:pPr>
      <w:spacing w:after="0" w:line="240" w:lineRule="auto"/>
      <w:ind w:left="240"/>
      <w:jc w:val="left"/>
    </w:pPr>
  </w:style>
  <w:style w:type="paragraph" w:styleId="30">
    <w:name w:val="toc 3"/>
    <w:basedOn w:val="a"/>
    <w:next w:val="a"/>
    <w:autoRedefine/>
    <w:uiPriority w:val="99"/>
    <w:semiHidden/>
    <w:unhideWhenUsed/>
    <w:rsid w:val="00E54474"/>
    <w:pPr>
      <w:spacing w:after="0" w:line="240" w:lineRule="auto"/>
      <w:ind w:left="480"/>
      <w:jc w:val="left"/>
    </w:pPr>
  </w:style>
  <w:style w:type="paragraph" w:styleId="a3">
    <w:name w:val="footnote text"/>
    <w:basedOn w:val="a"/>
    <w:link w:val="Char"/>
    <w:uiPriority w:val="99"/>
    <w:semiHidden/>
    <w:unhideWhenUsed/>
    <w:rsid w:val="00E54474"/>
    <w:pPr>
      <w:spacing w:after="0" w:line="240" w:lineRule="auto"/>
      <w:jc w:val="left"/>
    </w:pPr>
    <w:rPr>
      <w:sz w:val="20"/>
      <w:szCs w:val="20"/>
    </w:rPr>
  </w:style>
  <w:style w:type="character" w:customStyle="1" w:styleId="Char">
    <w:name w:val="Κείμενο υποσημείωσης Char"/>
    <w:basedOn w:val="a0"/>
    <w:link w:val="a3"/>
    <w:uiPriority w:val="99"/>
    <w:semiHidden/>
    <w:rsid w:val="00E54474"/>
    <w:rPr>
      <w:rFonts w:ascii="Times New Roman" w:eastAsia="Times New Roman" w:hAnsi="Times New Roman" w:cs="Times New Roman"/>
      <w:sz w:val="20"/>
      <w:szCs w:val="20"/>
      <w:lang w:eastAsia="el-GR"/>
    </w:rPr>
  </w:style>
  <w:style w:type="paragraph" w:styleId="a4">
    <w:name w:val="header"/>
    <w:basedOn w:val="a"/>
    <w:link w:val="Char0"/>
    <w:uiPriority w:val="99"/>
    <w:semiHidden/>
    <w:unhideWhenUsed/>
    <w:rsid w:val="00E54474"/>
    <w:pPr>
      <w:tabs>
        <w:tab w:val="center" w:pos="4153"/>
        <w:tab w:val="right" w:pos="8306"/>
      </w:tabs>
      <w:spacing w:after="0" w:line="240" w:lineRule="auto"/>
    </w:pPr>
  </w:style>
  <w:style w:type="character" w:customStyle="1" w:styleId="Char0">
    <w:name w:val="Κεφαλίδα Char"/>
    <w:basedOn w:val="a0"/>
    <w:link w:val="a4"/>
    <w:uiPriority w:val="99"/>
    <w:semiHidden/>
    <w:rsid w:val="00E54474"/>
    <w:rPr>
      <w:rFonts w:ascii="Times New Roman" w:eastAsia="Times New Roman" w:hAnsi="Times New Roman" w:cs="Times New Roman"/>
      <w:sz w:val="24"/>
      <w:szCs w:val="24"/>
      <w:lang w:eastAsia="el-GR"/>
    </w:rPr>
  </w:style>
  <w:style w:type="paragraph" w:styleId="a5">
    <w:name w:val="footer"/>
    <w:basedOn w:val="a"/>
    <w:link w:val="Char1"/>
    <w:uiPriority w:val="99"/>
    <w:semiHidden/>
    <w:unhideWhenUsed/>
    <w:rsid w:val="00E54474"/>
    <w:pPr>
      <w:tabs>
        <w:tab w:val="center" w:pos="4153"/>
        <w:tab w:val="right" w:pos="8306"/>
      </w:tabs>
      <w:spacing w:after="0" w:line="240" w:lineRule="auto"/>
    </w:pPr>
  </w:style>
  <w:style w:type="character" w:customStyle="1" w:styleId="Char1">
    <w:name w:val="Υποσέλιδο Char"/>
    <w:basedOn w:val="a0"/>
    <w:link w:val="a5"/>
    <w:uiPriority w:val="99"/>
    <w:semiHidden/>
    <w:rsid w:val="00E54474"/>
    <w:rPr>
      <w:rFonts w:ascii="Times New Roman" w:eastAsia="Times New Roman" w:hAnsi="Times New Roman" w:cs="Times New Roman"/>
      <w:sz w:val="24"/>
      <w:szCs w:val="24"/>
      <w:lang w:eastAsia="el-GR"/>
    </w:rPr>
  </w:style>
  <w:style w:type="paragraph" w:styleId="a6">
    <w:name w:val="endnote text"/>
    <w:basedOn w:val="a"/>
    <w:link w:val="Char2"/>
    <w:uiPriority w:val="99"/>
    <w:semiHidden/>
    <w:unhideWhenUsed/>
    <w:rsid w:val="00E54474"/>
    <w:pPr>
      <w:spacing w:after="0" w:line="240" w:lineRule="auto"/>
      <w:jc w:val="left"/>
    </w:pPr>
    <w:rPr>
      <w:sz w:val="20"/>
      <w:szCs w:val="20"/>
    </w:rPr>
  </w:style>
  <w:style w:type="character" w:customStyle="1" w:styleId="Char2">
    <w:name w:val="Κείμενο σημείωσης τέλους Char"/>
    <w:basedOn w:val="a0"/>
    <w:link w:val="a6"/>
    <w:uiPriority w:val="99"/>
    <w:semiHidden/>
    <w:rsid w:val="00E54474"/>
    <w:rPr>
      <w:rFonts w:ascii="Times New Roman" w:eastAsia="Times New Roman" w:hAnsi="Times New Roman" w:cs="Times New Roman"/>
      <w:sz w:val="20"/>
      <w:szCs w:val="20"/>
      <w:lang w:eastAsia="el-GR"/>
    </w:rPr>
  </w:style>
  <w:style w:type="paragraph" w:styleId="a7">
    <w:name w:val="Body Text"/>
    <w:basedOn w:val="a"/>
    <w:link w:val="Char3"/>
    <w:uiPriority w:val="99"/>
    <w:semiHidden/>
    <w:unhideWhenUsed/>
    <w:rsid w:val="00E54474"/>
    <w:pPr>
      <w:spacing w:after="0" w:line="240" w:lineRule="auto"/>
      <w:jc w:val="center"/>
    </w:pPr>
    <w:rPr>
      <w:u w:val="single"/>
      <w:lang w:val="x-none" w:eastAsia="en-US"/>
    </w:rPr>
  </w:style>
  <w:style w:type="character" w:customStyle="1" w:styleId="Char3">
    <w:name w:val="Σώμα κειμένου Char"/>
    <w:basedOn w:val="a0"/>
    <w:link w:val="a7"/>
    <w:uiPriority w:val="99"/>
    <w:semiHidden/>
    <w:rsid w:val="00E54474"/>
    <w:rPr>
      <w:rFonts w:ascii="Times New Roman" w:eastAsia="Times New Roman" w:hAnsi="Times New Roman" w:cs="Times New Roman"/>
      <w:sz w:val="24"/>
      <w:szCs w:val="24"/>
      <w:u w:val="single"/>
      <w:lang w:val="x-none"/>
    </w:rPr>
  </w:style>
  <w:style w:type="paragraph" w:styleId="a8">
    <w:name w:val="Body Text Indent"/>
    <w:basedOn w:val="a"/>
    <w:link w:val="Char4"/>
    <w:uiPriority w:val="99"/>
    <w:semiHidden/>
    <w:unhideWhenUsed/>
    <w:rsid w:val="00E54474"/>
    <w:pPr>
      <w:spacing w:after="0" w:line="240" w:lineRule="auto"/>
      <w:ind w:left="720" w:hanging="360"/>
    </w:pPr>
    <w:rPr>
      <w:bCs/>
      <w:iCs/>
      <w:lang w:val="x-none" w:eastAsia="en-US"/>
    </w:rPr>
  </w:style>
  <w:style w:type="character" w:customStyle="1" w:styleId="Char4">
    <w:name w:val="Σώμα κείμενου με εσοχή Char"/>
    <w:basedOn w:val="a0"/>
    <w:link w:val="a8"/>
    <w:uiPriority w:val="99"/>
    <w:semiHidden/>
    <w:rsid w:val="00E54474"/>
    <w:rPr>
      <w:rFonts w:ascii="Times New Roman" w:eastAsia="Times New Roman" w:hAnsi="Times New Roman" w:cs="Times New Roman"/>
      <w:bCs/>
      <w:iCs/>
      <w:sz w:val="24"/>
      <w:szCs w:val="24"/>
      <w:lang w:val="x-none"/>
    </w:rPr>
  </w:style>
  <w:style w:type="paragraph" w:styleId="21">
    <w:name w:val="Body Text 2"/>
    <w:basedOn w:val="a"/>
    <w:link w:val="2Char0"/>
    <w:uiPriority w:val="99"/>
    <w:semiHidden/>
    <w:unhideWhenUsed/>
    <w:rsid w:val="00E54474"/>
    <w:pPr>
      <w:spacing w:after="0" w:line="240" w:lineRule="auto"/>
      <w:jc w:val="left"/>
    </w:pPr>
    <w:rPr>
      <w:b/>
      <w:bCs/>
      <w:u w:val="single"/>
      <w:lang w:val="x-none" w:eastAsia="en-US"/>
    </w:rPr>
  </w:style>
  <w:style w:type="character" w:customStyle="1" w:styleId="2Char0">
    <w:name w:val="Σώμα κείμενου 2 Char"/>
    <w:basedOn w:val="a0"/>
    <w:link w:val="21"/>
    <w:uiPriority w:val="99"/>
    <w:semiHidden/>
    <w:rsid w:val="00E54474"/>
    <w:rPr>
      <w:rFonts w:ascii="Times New Roman" w:eastAsia="Times New Roman" w:hAnsi="Times New Roman" w:cs="Times New Roman"/>
      <w:b/>
      <w:bCs/>
      <w:sz w:val="24"/>
      <w:szCs w:val="24"/>
      <w:u w:val="single"/>
      <w:lang w:val="x-none"/>
    </w:rPr>
  </w:style>
  <w:style w:type="paragraph" w:styleId="a9">
    <w:name w:val="Block Text"/>
    <w:aliases w:val="Τμήμα κείμενου"/>
    <w:basedOn w:val="a"/>
    <w:uiPriority w:val="99"/>
    <w:semiHidden/>
    <w:unhideWhenUsed/>
    <w:rsid w:val="00E54474"/>
    <w:pPr>
      <w:spacing w:after="0" w:line="240" w:lineRule="auto"/>
      <w:ind w:left="-720" w:right="-1074"/>
    </w:pPr>
    <w:rPr>
      <w:lang w:eastAsia="en-US"/>
    </w:rPr>
  </w:style>
  <w:style w:type="paragraph" w:styleId="aa">
    <w:name w:val="Balloon Text"/>
    <w:basedOn w:val="a"/>
    <w:link w:val="Char5"/>
    <w:uiPriority w:val="99"/>
    <w:semiHidden/>
    <w:unhideWhenUsed/>
    <w:rsid w:val="00E54474"/>
    <w:pPr>
      <w:spacing w:after="0" w:line="240" w:lineRule="auto"/>
    </w:pPr>
    <w:rPr>
      <w:rFonts w:ascii="Tahoma" w:hAnsi="Tahoma" w:cs="Tahoma"/>
      <w:sz w:val="16"/>
      <w:szCs w:val="16"/>
    </w:rPr>
  </w:style>
  <w:style w:type="character" w:customStyle="1" w:styleId="Char5">
    <w:name w:val="Κείμενο πλαισίου Char"/>
    <w:basedOn w:val="a0"/>
    <w:link w:val="aa"/>
    <w:uiPriority w:val="99"/>
    <w:semiHidden/>
    <w:rsid w:val="00E54474"/>
    <w:rPr>
      <w:rFonts w:ascii="Tahoma" w:eastAsia="Times New Roman" w:hAnsi="Tahoma" w:cs="Tahoma"/>
      <w:sz w:val="16"/>
      <w:szCs w:val="16"/>
      <w:lang w:eastAsia="el-GR"/>
    </w:rPr>
  </w:style>
  <w:style w:type="character" w:customStyle="1" w:styleId="Char6">
    <w:name w:val="Χωρίς διάστιχο Char"/>
    <w:link w:val="ab"/>
    <w:uiPriority w:val="1"/>
    <w:locked/>
    <w:rsid w:val="00E54474"/>
    <w:rPr>
      <w:rFonts w:ascii="Times New Roman" w:eastAsia="Times New Roman" w:hAnsi="Times New Roman" w:cs="Times New Roman"/>
    </w:rPr>
  </w:style>
  <w:style w:type="paragraph" w:styleId="ab">
    <w:name w:val="No Spacing"/>
    <w:link w:val="Char6"/>
    <w:uiPriority w:val="1"/>
    <w:qFormat/>
    <w:rsid w:val="00E54474"/>
    <w:pPr>
      <w:spacing w:after="0" w:line="240" w:lineRule="auto"/>
    </w:pPr>
    <w:rPr>
      <w:rFonts w:ascii="Times New Roman" w:eastAsia="Times New Roman" w:hAnsi="Times New Roman" w:cs="Times New Roman"/>
    </w:rPr>
  </w:style>
  <w:style w:type="paragraph" w:styleId="ac">
    <w:name w:val="List Paragraph"/>
    <w:basedOn w:val="a"/>
    <w:uiPriority w:val="34"/>
    <w:qFormat/>
    <w:rsid w:val="00E54474"/>
    <w:pPr>
      <w:ind w:left="720"/>
      <w:contextualSpacing/>
    </w:pPr>
  </w:style>
  <w:style w:type="paragraph" w:customStyle="1" w:styleId="IASBNormal">
    <w:name w:val="IASB Normal"/>
    <w:uiPriority w:val="99"/>
    <w:rsid w:val="00E54474"/>
    <w:pPr>
      <w:spacing w:before="100" w:after="100" w:line="360" w:lineRule="auto"/>
      <w:jc w:val="both"/>
    </w:pPr>
    <w:rPr>
      <w:rFonts w:ascii="Times New Roman" w:eastAsia="Times New Roman" w:hAnsi="Times New Roman" w:cs="Times New Roman"/>
      <w:sz w:val="19"/>
      <w:szCs w:val="20"/>
      <w:lang w:val="en-US" w:eastAsia="zh-CN"/>
    </w:rPr>
  </w:style>
  <w:style w:type="paragraph" w:customStyle="1" w:styleId="keimeno">
    <w:name w:val="keimeno"/>
    <w:basedOn w:val="a"/>
    <w:uiPriority w:val="99"/>
    <w:rsid w:val="00E54474"/>
    <w:pPr>
      <w:autoSpaceDE w:val="0"/>
      <w:autoSpaceDN w:val="0"/>
      <w:adjustRightInd w:val="0"/>
      <w:spacing w:after="0" w:line="280" w:lineRule="atLeast"/>
      <w:ind w:firstLine="283"/>
    </w:pPr>
    <w:rPr>
      <w:rFonts w:ascii="UB-Helvetica" w:eastAsia="Calibri" w:hAnsi="UB-Helvetica" w:cs="UB-Helvetica"/>
      <w:color w:val="000000"/>
      <w:sz w:val="20"/>
      <w:szCs w:val="20"/>
    </w:rPr>
  </w:style>
  <w:style w:type="paragraph" w:customStyle="1" w:styleId="NoParagraphStyle">
    <w:name w:val="[No Paragraph Style]"/>
    <w:uiPriority w:val="99"/>
    <w:rsid w:val="00E54474"/>
    <w:pPr>
      <w:autoSpaceDE w:val="0"/>
      <w:autoSpaceDN w:val="0"/>
      <w:adjustRightInd w:val="0"/>
      <w:spacing w:after="0" w:line="288" w:lineRule="auto"/>
    </w:pPr>
    <w:rPr>
      <w:rFonts w:ascii="Minion Pro" w:eastAsia="Calibri" w:hAnsi="Minion Pro" w:cs="Minion Pro"/>
      <w:color w:val="000000"/>
      <w:sz w:val="24"/>
      <w:szCs w:val="24"/>
      <w:lang w:eastAsia="el-GR"/>
    </w:rPr>
  </w:style>
  <w:style w:type="paragraph" w:customStyle="1" w:styleId="esoxes">
    <w:name w:val="esoxes"/>
    <w:basedOn w:val="keimeno"/>
    <w:uiPriority w:val="99"/>
    <w:rsid w:val="00E54474"/>
    <w:pPr>
      <w:ind w:left="283" w:hanging="283"/>
    </w:pPr>
  </w:style>
  <w:style w:type="paragraph" w:customStyle="1" w:styleId="askiseistitlos">
    <w:name w:val="askiseis_titlos"/>
    <w:basedOn w:val="keimeno"/>
    <w:uiPriority w:val="99"/>
    <w:rsid w:val="00E54474"/>
    <w:rPr>
      <w:rFonts w:ascii="PFTransit Bold" w:hAnsi="PFTransit Bold" w:cs="PFTransit Bold"/>
      <w:sz w:val="21"/>
      <w:szCs w:val="21"/>
    </w:rPr>
  </w:style>
  <w:style w:type="paragraph" w:customStyle="1" w:styleId="pinakaskeimeno">
    <w:name w:val="pinakas_keimeno"/>
    <w:basedOn w:val="keimeno"/>
    <w:uiPriority w:val="99"/>
    <w:rsid w:val="00E54474"/>
    <w:pPr>
      <w:spacing w:line="240" w:lineRule="atLeast"/>
      <w:ind w:firstLine="0"/>
      <w:jc w:val="left"/>
    </w:pPr>
    <w:rPr>
      <w:w w:val="95"/>
      <w:sz w:val="19"/>
      <w:szCs w:val="19"/>
    </w:rPr>
  </w:style>
  <w:style w:type="paragraph" w:customStyle="1" w:styleId="11">
    <w:name w:val="1.1"/>
    <w:basedOn w:val="keimeno"/>
    <w:uiPriority w:val="99"/>
    <w:rsid w:val="00E54474"/>
    <w:pPr>
      <w:tabs>
        <w:tab w:val="left" w:pos="652"/>
      </w:tabs>
      <w:spacing w:before="57" w:after="57"/>
      <w:ind w:firstLine="0"/>
      <w:jc w:val="left"/>
    </w:pPr>
    <w:rPr>
      <w:rFonts w:ascii="PFTransit Bold" w:hAnsi="PFTransit Bold" w:cs="PFTransit Bold"/>
      <w:w w:val="97"/>
      <w:position w:val="-12"/>
      <w:sz w:val="26"/>
      <w:szCs w:val="26"/>
    </w:rPr>
  </w:style>
  <w:style w:type="paragraph" w:customStyle="1" w:styleId="Default">
    <w:name w:val="Default"/>
    <w:rsid w:val="00E5447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ListParagraph1">
    <w:name w:val="List Paragraph1"/>
    <w:basedOn w:val="a"/>
    <w:uiPriority w:val="34"/>
    <w:qFormat/>
    <w:rsid w:val="00E54474"/>
    <w:pPr>
      <w:ind w:left="720"/>
    </w:pPr>
  </w:style>
  <w:style w:type="paragraph" w:customStyle="1" w:styleId="style6">
    <w:name w:val="style6"/>
    <w:basedOn w:val="a"/>
    <w:uiPriority w:val="99"/>
    <w:rsid w:val="00E54474"/>
    <w:pPr>
      <w:spacing w:before="100" w:beforeAutospacing="1" w:after="100" w:afterAutospacing="1" w:line="240" w:lineRule="auto"/>
      <w:jc w:val="left"/>
    </w:pPr>
  </w:style>
  <w:style w:type="paragraph" w:customStyle="1" w:styleId="style2">
    <w:name w:val="style2"/>
    <w:basedOn w:val="a"/>
    <w:uiPriority w:val="99"/>
    <w:rsid w:val="00E54474"/>
    <w:pPr>
      <w:spacing w:before="100" w:beforeAutospacing="1" w:after="100" w:afterAutospacing="1" w:line="240" w:lineRule="auto"/>
      <w:jc w:val="left"/>
    </w:pPr>
  </w:style>
  <w:style w:type="paragraph" w:customStyle="1" w:styleId="style3">
    <w:name w:val="style3"/>
    <w:basedOn w:val="a"/>
    <w:uiPriority w:val="99"/>
    <w:rsid w:val="00E54474"/>
    <w:pPr>
      <w:spacing w:before="100" w:beforeAutospacing="1" w:after="100" w:afterAutospacing="1" w:line="240" w:lineRule="auto"/>
      <w:jc w:val="left"/>
    </w:pPr>
  </w:style>
  <w:style w:type="paragraph" w:customStyle="1" w:styleId="style4">
    <w:name w:val="style4"/>
    <w:basedOn w:val="a"/>
    <w:uiPriority w:val="99"/>
    <w:rsid w:val="00E54474"/>
    <w:pPr>
      <w:spacing w:before="100" w:beforeAutospacing="1" w:after="100" w:afterAutospacing="1" w:line="240" w:lineRule="auto"/>
      <w:jc w:val="left"/>
    </w:pPr>
  </w:style>
  <w:style w:type="paragraph" w:customStyle="1" w:styleId="style5">
    <w:name w:val="style5"/>
    <w:basedOn w:val="a"/>
    <w:uiPriority w:val="99"/>
    <w:rsid w:val="00E54474"/>
    <w:pPr>
      <w:spacing w:before="100" w:beforeAutospacing="1" w:after="100" w:afterAutospacing="1" w:line="240" w:lineRule="auto"/>
      <w:jc w:val="left"/>
    </w:pPr>
  </w:style>
  <w:style w:type="paragraph" w:customStyle="1" w:styleId="Style50">
    <w:name w:val="Style5"/>
    <w:basedOn w:val="a"/>
    <w:uiPriority w:val="99"/>
    <w:rsid w:val="00E54474"/>
    <w:pPr>
      <w:widowControl w:val="0"/>
      <w:autoSpaceDE w:val="0"/>
      <w:autoSpaceDN w:val="0"/>
      <w:adjustRightInd w:val="0"/>
      <w:spacing w:after="0" w:line="240" w:lineRule="auto"/>
      <w:jc w:val="left"/>
    </w:pPr>
  </w:style>
  <w:style w:type="paragraph" w:customStyle="1" w:styleId="Style7">
    <w:name w:val="Style7"/>
    <w:basedOn w:val="a"/>
    <w:uiPriority w:val="99"/>
    <w:rsid w:val="00E54474"/>
    <w:pPr>
      <w:widowControl w:val="0"/>
      <w:autoSpaceDE w:val="0"/>
      <w:autoSpaceDN w:val="0"/>
      <w:adjustRightInd w:val="0"/>
      <w:spacing w:after="0" w:line="240" w:lineRule="auto"/>
    </w:pPr>
  </w:style>
  <w:style w:type="paragraph" w:customStyle="1" w:styleId="Style40">
    <w:name w:val="Style4"/>
    <w:basedOn w:val="a"/>
    <w:uiPriority w:val="99"/>
    <w:rsid w:val="00E54474"/>
    <w:pPr>
      <w:widowControl w:val="0"/>
      <w:autoSpaceDE w:val="0"/>
      <w:autoSpaceDN w:val="0"/>
      <w:adjustRightInd w:val="0"/>
      <w:spacing w:after="0" w:line="240" w:lineRule="auto"/>
      <w:jc w:val="left"/>
    </w:pPr>
  </w:style>
  <w:style w:type="paragraph" w:customStyle="1" w:styleId="Style10">
    <w:name w:val="Style10"/>
    <w:basedOn w:val="a"/>
    <w:uiPriority w:val="99"/>
    <w:rsid w:val="00E54474"/>
    <w:pPr>
      <w:widowControl w:val="0"/>
      <w:autoSpaceDE w:val="0"/>
      <w:autoSpaceDN w:val="0"/>
      <w:adjustRightInd w:val="0"/>
      <w:spacing w:after="0" w:line="269" w:lineRule="exact"/>
      <w:ind w:hanging="1099"/>
      <w:jc w:val="left"/>
    </w:pPr>
  </w:style>
  <w:style w:type="paragraph" w:customStyle="1" w:styleId="Style15">
    <w:name w:val="Style15"/>
    <w:basedOn w:val="a"/>
    <w:uiPriority w:val="99"/>
    <w:rsid w:val="00E54474"/>
    <w:pPr>
      <w:widowControl w:val="0"/>
      <w:autoSpaceDE w:val="0"/>
      <w:autoSpaceDN w:val="0"/>
      <w:adjustRightInd w:val="0"/>
      <w:spacing w:after="0" w:line="240" w:lineRule="auto"/>
      <w:jc w:val="left"/>
    </w:pPr>
  </w:style>
  <w:style w:type="paragraph" w:customStyle="1" w:styleId="Style22">
    <w:name w:val="Style22"/>
    <w:basedOn w:val="a"/>
    <w:uiPriority w:val="99"/>
    <w:rsid w:val="00E54474"/>
    <w:pPr>
      <w:widowControl w:val="0"/>
      <w:autoSpaceDE w:val="0"/>
      <w:autoSpaceDN w:val="0"/>
      <w:adjustRightInd w:val="0"/>
      <w:spacing w:after="0" w:line="240" w:lineRule="auto"/>
      <w:jc w:val="right"/>
    </w:pPr>
  </w:style>
  <w:style w:type="paragraph" w:customStyle="1" w:styleId="Style31">
    <w:name w:val="Style31"/>
    <w:basedOn w:val="a"/>
    <w:uiPriority w:val="99"/>
    <w:rsid w:val="00E54474"/>
    <w:pPr>
      <w:widowControl w:val="0"/>
      <w:autoSpaceDE w:val="0"/>
      <w:autoSpaceDN w:val="0"/>
      <w:adjustRightInd w:val="0"/>
      <w:spacing w:after="0" w:line="240" w:lineRule="auto"/>
      <w:jc w:val="left"/>
    </w:pPr>
  </w:style>
  <w:style w:type="paragraph" w:customStyle="1" w:styleId="Style34">
    <w:name w:val="Style34"/>
    <w:basedOn w:val="a"/>
    <w:uiPriority w:val="99"/>
    <w:rsid w:val="00E54474"/>
    <w:pPr>
      <w:widowControl w:val="0"/>
      <w:autoSpaceDE w:val="0"/>
      <w:autoSpaceDN w:val="0"/>
      <w:adjustRightInd w:val="0"/>
      <w:spacing w:after="0" w:line="278" w:lineRule="exact"/>
      <w:jc w:val="right"/>
    </w:pPr>
  </w:style>
  <w:style w:type="paragraph" w:customStyle="1" w:styleId="Style36">
    <w:name w:val="Style36"/>
    <w:basedOn w:val="a"/>
    <w:uiPriority w:val="99"/>
    <w:rsid w:val="00E54474"/>
    <w:pPr>
      <w:widowControl w:val="0"/>
      <w:autoSpaceDE w:val="0"/>
      <w:autoSpaceDN w:val="0"/>
      <w:adjustRightInd w:val="0"/>
      <w:spacing w:after="0" w:line="283" w:lineRule="exact"/>
      <w:jc w:val="left"/>
    </w:pPr>
  </w:style>
  <w:style w:type="paragraph" w:customStyle="1" w:styleId="Style25">
    <w:name w:val="Style25"/>
    <w:basedOn w:val="a"/>
    <w:uiPriority w:val="99"/>
    <w:rsid w:val="00E54474"/>
    <w:pPr>
      <w:widowControl w:val="0"/>
      <w:autoSpaceDE w:val="0"/>
      <w:autoSpaceDN w:val="0"/>
      <w:adjustRightInd w:val="0"/>
      <w:spacing w:after="0" w:line="341" w:lineRule="exact"/>
    </w:pPr>
  </w:style>
  <w:style w:type="paragraph" w:customStyle="1" w:styleId="Style27">
    <w:name w:val="Style27"/>
    <w:basedOn w:val="a"/>
    <w:uiPriority w:val="99"/>
    <w:rsid w:val="00E54474"/>
    <w:pPr>
      <w:widowControl w:val="0"/>
      <w:autoSpaceDE w:val="0"/>
      <w:autoSpaceDN w:val="0"/>
      <w:adjustRightInd w:val="0"/>
      <w:spacing w:after="0" w:line="269" w:lineRule="exact"/>
      <w:ind w:hanging="1190"/>
      <w:jc w:val="left"/>
    </w:pPr>
  </w:style>
  <w:style w:type="paragraph" w:customStyle="1" w:styleId="Style32">
    <w:name w:val="Style32"/>
    <w:basedOn w:val="a"/>
    <w:uiPriority w:val="99"/>
    <w:rsid w:val="00E54474"/>
    <w:pPr>
      <w:widowControl w:val="0"/>
      <w:autoSpaceDE w:val="0"/>
      <w:autoSpaceDN w:val="0"/>
      <w:adjustRightInd w:val="0"/>
      <w:spacing w:after="0" w:line="240" w:lineRule="auto"/>
      <w:jc w:val="left"/>
    </w:pPr>
  </w:style>
  <w:style w:type="paragraph" w:customStyle="1" w:styleId="Style33">
    <w:name w:val="Style33"/>
    <w:basedOn w:val="a"/>
    <w:uiPriority w:val="99"/>
    <w:rsid w:val="00E54474"/>
    <w:pPr>
      <w:widowControl w:val="0"/>
      <w:autoSpaceDE w:val="0"/>
      <w:autoSpaceDN w:val="0"/>
      <w:adjustRightInd w:val="0"/>
      <w:spacing w:after="0" w:line="250" w:lineRule="exact"/>
      <w:jc w:val="left"/>
    </w:pPr>
  </w:style>
  <w:style w:type="character" w:customStyle="1" w:styleId="22">
    <w:name w:val="Υποσημείωση (2)_"/>
    <w:link w:val="23"/>
    <w:locked/>
    <w:rsid w:val="00E54474"/>
    <w:rPr>
      <w:rFonts w:ascii="Segoe UI" w:hAnsi="Segoe UI" w:cs="Segoe UI"/>
      <w:sz w:val="21"/>
      <w:szCs w:val="21"/>
      <w:shd w:val="clear" w:color="auto" w:fill="FFFFFF"/>
    </w:rPr>
  </w:style>
  <w:style w:type="paragraph" w:customStyle="1" w:styleId="23">
    <w:name w:val="Υποσημείωση (2)"/>
    <w:basedOn w:val="a"/>
    <w:link w:val="22"/>
    <w:rsid w:val="00E54474"/>
    <w:pPr>
      <w:shd w:val="clear" w:color="auto" w:fill="FFFFFF"/>
      <w:spacing w:after="0" w:line="264" w:lineRule="exact"/>
    </w:pPr>
    <w:rPr>
      <w:rFonts w:ascii="Segoe UI" w:eastAsiaTheme="minorHAnsi" w:hAnsi="Segoe UI" w:cs="Segoe UI"/>
      <w:sz w:val="21"/>
      <w:szCs w:val="21"/>
      <w:lang w:eastAsia="en-US"/>
    </w:rPr>
  </w:style>
  <w:style w:type="paragraph" w:customStyle="1" w:styleId="xl31">
    <w:name w:val="xl31"/>
    <w:basedOn w:val="a"/>
    <w:uiPriority w:val="99"/>
    <w:rsid w:val="00E54474"/>
    <w:pPr>
      <w:pBdr>
        <w:bottom w:val="double" w:sz="6" w:space="0" w:color="auto"/>
      </w:pBdr>
      <w:spacing w:before="100" w:beforeAutospacing="1" w:after="100" w:afterAutospacing="1" w:line="240" w:lineRule="auto"/>
      <w:jc w:val="right"/>
    </w:pPr>
    <w:rPr>
      <w:rFonts w:eastAsia="Arial Unicode MS"/>
    </w:rPr>
  </w:style>
  <w:style w:type="paragraph" w:customStyle="1" w:styleId="Style20">
    <w:name w:val="Style2"/>
    <w:basedOn w:val="a"/>
    <w:uiPriority w:val="99"/>
    <w:rsid w:val="00E54474"/>
    <w:pPr>
      <w:widowControl w:val="0"/>
      <w:autoSpaceDE w:val="0"/>
      <w:autoSpaceDN w:val="0"/>
      <w:adjustRightInd w:val="0"/>
      <w:spacing w:after="0" w:line="406" w:lineRule="exact"/>
      <w:ind w:hanging="797"/>
    </w:pPr>
  </w:style>
  <w:style w:type="paragraph" w:customStyle="1" w:styleId="Style1">
    <w:name w:val="Style1"/>
    <w:basedOn w:val="a"/>
    <w:uiPriority w:val="99"/>
    <w:rsid w:val="00E54474"/>
    <w:pPr>
      <w:widowControl w:val="0"/>
      <w:autoSpaceDE w:val="0"/>
      <w:autoSpaceDN w:val="0"/>
      <w:adjustRightInd w:val="0"/>
      <w:spacing w:after="0" w:line="401" w:lineRule="exact"/>
    </w:pPr>
  </w:style>
  <w:style w:type="paragraph" w:customStyle="1" w:styleId="Style8">
    <w:name w:val="Style8"/>
    <w:basedOn w:val="a"/>
    <w:uiPriority w:val="99"/>
    <w:rsid w:val="00E54474"/>
    <w:pPr>
      <w:widowControl w:val="0"/>
      <w:autoSpaceDE w:val="0"/>
      <w:autoSpaceDN w:val="0"/>
      <w:adjustRightInd w:val="0"/>
      <w:spacing w:after="0" w:line="240" w:lineRule="auto"/>
    </w:pPr>
  </w:style>
  <w:style w:type="paragraph" w:customStyle="1" w:styleId="Style9">
    <w:name w:val="Style9"/>
    <w:basedOn w:val="a"/>
    <w:uiPriority w:val="99"/>
    <w:rsid w:val="00E54474"/>
    <w:pPr>
      <w:widowControl w:val="0"/>
      <w:autoSpaceDE w:val="0"/>
      <w:autoSpaceDN w:val="0"/>
      <w:adjustRightInd w:val="0"/>
      <w:spacing w:after="0" w:line="285" w:lineRule="exact"/>
      <w:jc w:val="left"/>
    </w:pPr>
  </w:style>
  <w:style w:type="paragraph" w:customStyle="1" w:styleId="Style12">
    <w:name w:val="Style12"/>
    <w:basedOn w:val="a"/>
    <w:uiPriority w:val="99"/>
    <w:rsid w:val="00E54474"/>
    <w:pPr>
      <w:widowControl w:val="0"/>
      <w:autoSpaceDE w:val="0"/>
      <w:autoSpaceDN w:val="0"/>
      <w:adjustRightInd w:val="0"/>
      <w:spacing w:after="0" w:line="283" w:lineRule="exact"/>
      <w:jc w:val="right"/>
    </w:pPr>
  </w:style>
  <w:style w:type="paragraph" w:customStyle="1" w:styleId="Style11">
    <w:name w:val="Style11"/>
    <w:basedOn w:val="a"/>
    <w:uiPriority w:val="99"/>
    <w:rsid w:val="00E54474"/>
    <w:pPr>
      <w:widowControl w:val="0"/>
      <w:autoSpaceDE w:val="0"/>
      <w:autoSpaceDN w:val="0"/>
      <w:adjustRightInd w:val="0"/>
      <w:spacing w:after="0" w:line="403" w:lineRule="exact"/>
      <w:ind w:hanging="826"/>
    </w:pPr>
  </w:style>
  <w:style w:type="paragraph" w:customStyle="1" w:styleId="Style200">
    <w:name w:val="Style20"/>
    <w:basedOn w:val="a"/>
    <w:uiPriority w:val="99"/>
    <w:rsid w:val="00E54474"/>
    <w:pPr>
      <w:widowControl w:val="0"/>
      <w:autoSpaceDE w:val="0"/>
      <w:autoSpaceDN w:val="0"/>
      <w:adjustRightInd w:val="0"/>
      <w:spacing w:after="0" w:line="240" w:lineRule="auto"/>
      <w:jc w:val="center"/>
    </w:pPr>
  </w:style>
  <w:style w:type="paragraph" w:customStyle="1" w:styleId="Style37">
    <w:name w:val="Style37"/>
    <w:basedOn w:val="a"/>
    <w:uiPriority w:val="99"/>
    <w:rsid w:val="00E54474"/>
    <w:pPr>
      <w:widowControl w:val="0"/>
      <w:autoSpaceDE w:val="0"/>
      <w:autoSpaceDN w:val="0"/>
      <w:adjustRightInd w:val="0"/>
      <w:spacing w:after="0" w:line="403" w:lineRule="exact"/>
      <w:ind w:hanging="547"/>
    </w:pPr>
  </w:style>
  <w:style w:type="paragraph" w:customStyle="1" w:styleId="Style400">
    <w:name w:val="Style40"/>
    <w:basedOn w:val="a"/>
    <w:uiPriority w:val="99"/>
    <w:rsid w:val="00E54474"/>
    <w:pPr>
      <w:widowControl w:val="0"/>
      <w:autoSpaceDE w:val="0"/>
      <w:autoSpaceDN w:val="0"/>
      <w:adjustRightInd w:val="0"/>
      <w:spacing w:after="0" w:line="240" w:lineRule="auto"/>
      <w:jc w:val="left"/>
    </w:pPr>
  </w:style>
  <w:style w:type="paragraph" w:customStyle="1" w:styleId="Style56">
    <w:name w:val="Style56"/>
    <w:basedOn w:val="a"/>
    <w:uiPriority w:val="99"/>
    <w:rsid w:val="00E54474"/>
    <w:pPr>
      <w:widowControl w:val="0"/>
      <w:autoSpaceDE w:val="0"/>
      <w:autoSpaceDN w:val="0"/>
      <w:adjustRightInd w:val="0"/>
      <w:spacing w:after="0" w:line="406" w:lineRule="exact"/>
      <w:ind w:hanging="408"/>
    </w:pPr>
  </w:style>
  <w:style w:type="paragraph" w:customStyle="1" w:styleId="Style51">
    <w:name w:val="Style51"/>
    <w:basedOn w:val="a"/>
    <w:uiPriority w:val="99"/>
    <w:rsid w:val="00E54474"/>
    <w:pPr>
      <w:widowControl w:val="0"/>
      <w:autoSpaceDE w:val="0"/>
      <w:autoSpaceDN w:val="0"/>
      <w:adjustRightInd w:val="0"/>
      <w:spacing w:after="0" w:line="240" w:lineRule="auto"/>
      <w:jc w:val="left"/>
    </w:pPr>
  </w:style>
  <w:style w:type="paragraph" w:customStyle="1" w:styleId="Style30">
    <w:name w:val="Style30"/>
    <w:basedOn w:val="a"/>
    <w:uiPriority w:val="99"/>
    <w:rsid w:val="00E54474"/>
    <w:pPr>
      <w:widowControl w:val="0"/>
      <w:autoSpaceDE w:val="0"/>
      <w:autoSpaceDN w:val="0"/>
      <w:adjustRightInd w:val="0"/>
      <w:spacing w:after="0" w:line="408" w:lineRule="exact"/>
      <w:ind w:hanging="960"/>
    </w:pPr>
  </w:style>
  <w:style w:type="character" w:styleId="ad">
    <w:name w:val="footnote reference"/>
    <w:uiPriority w:val="99"/>
    <w:semiHidden/>
    <w:unhideWhenUsed/>
    <w:rsid w:val="00E54474"/>
    <w:rPr>
      <w:rFonts w:ascii="Times New Roman" w:hAnsi="Times New Roman" w:cs="Times New Roman" w:hint="default"/>
      <w:vertAlign w:val="superscript"/>
    </w:rPr>
  </w:style>
  <w:style w:type="character" w:styleId="ae">
    <w:name w:val="endnote reference"/>
    <w:semiHidden/>
    <w:unhideWhenUsed/>
    <w:rsid w:val="00E54474"/>
    <w:rPr>
      <w:vertAlign w:val="superscript"/>
    </w:rPr>
  </w:style>
  <w:style w:type="character" w:styleId="af">
    <w:name w:val="Subtle Emphasis"/>
    <w:uiPriority w:val="19"/>
    <w:qFormat/>
    <w:rsid w:val="00E54474"/>
    <w:rPr>
      <w:i/>
      <w:iCs/>
      <w:color w:val="808080"/>
    </w:rPr>
  </w:style>
  <w:style w:type="character" w:customStyle="1" w:styleId="dipligrammi">
    <w:name w:val="dipli_grammi"/>
    <w:uiPriority w:val="99"/>
    <w:rsid w:val="00E54474"/>
    <w:rPr>
      <w:u w:val="double"/>
    </w:rPr>
  </w:style>
  <w:style w:type="character" w:customStyle="1" w:styleId="monigrammi">
    <w:name w:val="moni_grammi"/>
    <w:uiPriority w:val="99"/>
    <w:rsid w:val="00E54474"/>
    <w:rPr>
      <w:u w:val="thick"/>
    </w:rPr>
  </w:style>
  <w:style w:type="character" w:customStyle="1" w:styleId="apple-converted-space">
    <w:name w:val="apple-converted-space"/>
    <w:basedOn w:val="a0"/>
    <w:rsid w:val="00E54474"/>
  </w:style>
  <w:style w:type="character" w:customStyle="1" w:styleId="fontstyle13">
    <w:name w:val="fontstyle13"/>
    <w:basedOn w:val="a0"/>
    <w:rsid w:val="00E54474"/>
  </w:style>
  <w:style w:type="character" w:customStyle="1" w:styleId="fontstyle12">
    <w:name w:val="fontstyle12"/>
    <w:basedOn w:val="a0"/>
    <w:rsid w:val="00E54474"/>
  </w:style>
  <w:style w:type="character" w:customStyle="1" w:styleId="fontstyle15">
    <w:name w:val="fontstyle15"/>
    <w:basedOn w:val="a0"/>
    <w:rsid w:val="00E54474"/>
  </w:style>
  <w:style w:type="character" w:customStyle="1" w:styleId="fontstyle11">
    <w:name w:val="fontstyle11"/>
    <w:basedOn w:val="a0"/>
    <w:rsid w:val="00E54474"/>
  </w:style>
  <w:style w:type="character" w:customStyle="1" w:styleId="FontStyle49">
    <w:name w:val="Font Style49"/>
    <w:uiPriority w:val="99"/>
    <w:rsid w:val="00E54474"/>
    <w:rPr>
      <w:rFonts w:ascii="Times New Roman" w:hAnsi="Times New Roman" w:cs="Times New Roman" w:hint="default"/>
      <w:b/>
      <w:bCs/>
      <w:sz w:val="20"/>
      <w:szCs w:val="20"/>
    </w:rPr>
  </w:style>
  <w:style w:type="character" w:customStyle="1" w:styleId="FontStyle60">
    <w:name w:val="Font Style60"/>
    <w:uiPriority w:val="99"/>
    <w:rsid w:val="00E54474"/>
    <w:rPr>
      <w:rFonts w:ascii="Times New Roman" w:hAnsi="Times New Roman" w:cs="Times New Roman" w:hint="default"/>
      <w:sz w:val="22"/>
      <w:szCs w:val="22"/>
    </w:rPr>
  </w:style>
  <w:style w:type="character" w:customStyle="1" w:styleId="FontStyle120">
    <w:name w:val="Font Style12"/>
    <w:uiPriority w:val="99"/>
    <w:rsid w:val="00E54474"/>
    <w:rPr>
      <w:rFonts w:ascii="Times New Roman" w:hAnsi="Times New Roman" w:cs="Times New Roman" w:hint="default"/>
      <w:sz w:val="22"/>
      <w:szCs w:val="22"/>
    </w:rPr>
  </w:style>
  <w:style w:type="character" w:customStyle="1" w:styleId="FontStyle69">
    <w:name w:val="Font Style69"/>
    <w:uiPriority w:val="99"/>
    <w:rsid w:val="00E54474"/>
    <w:rPr>
      <w:rFonts w:ascii="Arial Narrow" w:hAnsi="Arial Narrow" w:cs="Arial Narrow" w:hint="default"/>
      <w:sz w:val="14"/>
      <w:szCs w:val="14"/>
    </w:rPr>
  </w:style>
  <w:style w:type="character" w:customStyle="1" w:styleId="FontStyle61">
    <w:name w:val="Font Style61"/>
    <w:uiPriority w:val="99"/>
    <w:rsid w:val="00E54474"/>
    <w:rPr>
      <w:rFonts w:ascii="Calibri" w:hAnsi="Calibri" w:cs="Calibri" w:hint="default"/>
      <w:sz w:val="20"/>
      <w:szCs w:val="20"/>
    </w:rPr>
  </w:style>
  <w:style w:type="character" w:customStyle="1" w:styleId="FontStyle62">
    <w:name w:val="Font Style62"/>
    <w:uiPriority w:val="99"/>
    <w:rsid w:val="00E54474"/>
    <w:rPr>
      <w:rFonts w:ascii="Calibri" w:hAnsi="Calibri" w:cs="Calibri" w:hint="default"/>
      <w:sz w:val="16"/>
      <w:szCs w:val="16"/>
    </w:rPr>
  </w:style>
  <w:style w:type="character" w:customStyle="1" w:styleId="FontStyle56">
    <w:name w:val="Font Style56"/>
    <w:uiPriority w:val="99"/>
    <w:rsid w:val="00E54474"/>
    <w:rPr>
      <w:rFonts w:ascii="Book Antiqua" w:hAnsi="Book Antiqua" w:cs="Book Antiqua" w:hint="default"/>
      <w:sz w:val="10"/>
      <w:szCs w:val="10"/>
    </w:rPr>
  </w:style>
  <w:style w:type="character" w:customStyle="1" w:styleId="FontStyle57">
    <w:name w:val="Font Style57"/>
    <w:uiPriority w:val="99"/>
    <w:rsid w:val="00E54474"/>
    <w:rPr>
      <w:rFonts w:ascii="Palatino Linotype" w:hAnsi="Palatino Linotype" w:cs="Palatino Linotype" w:hint="default"/>
      <w:spacing w:val="30"/>
      <w:sz w:val="10"/>
      <w:szCs w:val="10"/>
    </w:rPr>
  </w:style>
  <w:style w:type="character" w:customStyle="1" w:styleId="FontStyle58">
    <w:name w:val="Font Style58"/>
    <w:uiPriority w:val="99"/>
    <w:rsid w:val="00E54474"/>
    <w:rPr>
      <w:rFonts w:ascii="Times New Roman" w:hAnsi="Times New Roman" w:cs="Times New Roman" w:hint="default"/>
      <w:b/>
      <w:bCs/>
      <w:smallCaps/>
      <w:sz w:val="10"/>
      <w:szCs w:val="10"/>
    </w:rPr>
  </w:style>
  <w:style w:type="character" w:customStyle="1" w:styleId="FontStyle59">
    <w:name w:val="Font Style59"/>
    <w:uiPriority w:val="99"/>
    <w:rsid w:val="00E54474"/>
    <w:rPr>
      <w:rFonts w:ascii="Calibri" w:hAnsi="Calibri" w:cs="Calibri" w:hint="default"/>
      <w:b/>
      <w:bCs/>
      <w:i/>
      <w:iCs/>
      <w:w w:val="50"/>
      <w:sz w:val="16"/>
      <w:szCs w:val="16"/>
    </w:rPr>
  </w:style>
  <w:style w:type="character" w:customStyle="1" w:styleId="FontStyle53">
    <w:name w:val="Font Style53"/>
    <w:uiPriority w:val="99"/>
    <w:rsid w:val="00E54474"/>
    <w:rPr>
      <w:rFonts w:ascii="Times New Roman" w:hAnsi="Times New Roman" w:cs="Times New Roman" w:hint="default"/>
      <w:b/>
      <w:bCs/>
      <w:sz w:val="20"/>
      <w:szCs w:val="20"/>
    </w:rPr>
  </w:style>
  <w:style w:type="character" w:customStyle="1" w:styleId="FontStyle54">
    <w:name w:val="Font Style54"/>
    <w:uiPriority w:val="99"/>
    <w:rsid w:val="00E54474"/>
    <w:rPr>
      <w:rFonts w:ascii="Times New Roman" w:hAnsi="Times New Roman" w:cs="Times New Roman" w:hint="default"/>
      <w:i/>
      <w:iCs/>
      <w:sz w:val="20"/>
      <w:szCs w:val="20"/>
    </w:rPr>
  </w:style>
  <w:style w:type="character" w:customStyle="1" w:styleId="FontStyle55">
    <w:name w:val="Font Style55"/>
    <w:uiPriority w:val="99"/>
    <w:rsid w:val="00E54474"/>
    <w:rPr>
      <w:rFonts w:ascii="Times New Roman" w:hAnsi="Times New Roman" w:cs="Times New Roman" w:hint="default"/>
      <w:b/>
      <w:bCs/>
      <w:smallCaps/>
      <w:sz w:val="18"/>
      <w:szCs w:val="18"/>
    </w:rPr>
  </w:style>
  <w:style w:type="character" w:customStyle="1" w:styleId="FontStyle64">
    <w:name w:val="Font Style64"/>
    <w:uiPriority w:val="99"/>
    <w:rsid w:val="00E54474"/>
    <w:rPr>
      <w:rFonts w:ascii="Times New Roman" w:hAnsi="Times New Roman" w:cs="Times New Roman" w:hint="default"/>
      <w:b/>
      <w:bCs/>
      <w:sz w:val="22"/>
      <w:szCs w:val="22"/>
    </w:rPr>
  </w:style>
  <w:style w:type="character" w:customStyle="1" w:styleId="FontStyle63">
    <w:name w:val="Font Style63"/>
    <w:uiPriority w:val="99"/>
    <w:rsid w:val="00E54474"/>
    <w:rPr>
      <w:rFonts w:ascii="Calibri" w:hAnsi="Calibri" w:cs="Calibri" w:hint="default"/>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4696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axheaven.gr/laws/law/index/law/660" TargetMode="External"/><Relationship Id="rId13" Type="http://schemas.openxmlformats.org/officeDocument/2006/relationships/image" Target="media/image1.emf"/><Relationship Id="rId18" Type="http://schemas.openxmlformats.org/officeDocument/2006/relationships/oleObject" Target="embeddings/Microsoft_Excel_97-2003_Worksheet1.xls"/><Relationship Id="rId3" Type="http://schemas.microsoft.com/office/2007/relationships/stylesWithEffects" Target="stylesWithEffects.xml"/><Relationship Id="rId21" Type="http://schemas.openxmlformats.org/officeDocument/2006/relationships/image" Target="media/image5.emf"/><Relationship Id="rId7" Type="http://schemas.openxmlformats.org/officeDocument/2006/relationships/hyperlink" Target="http://www.taxheaven.gr/pages/index/page/clips-subscription" TargetMode="External"/><Relationship Id="rId12" Type="http://schemas.openxmlformats.org/officeDocument/2006/relationships/hyperlink" Target="http://www.taxheaven.gr/laws/law/index/law/660" TargetMode="External"/><Relationship Id="rId17" Type="http://schemas.openxmlformats.org/officeDocument/2006/relationships/image" Target="media/image3.emf"/><Relationship Id="rId2" Type="http://schemas.openxmlformats.org/officeDocument/2006/relationships/styles" Target="styles.xml"/><Relationship Id="rId16" Type="http://schemas.openxmlformats.org/officeDocument/2006/relationships/package" Target="embeddings/Microsoft_Excel_Worksheet2.xlsx"/><Relationship Id="rId20" Type="http://schemas.openxmlformats.org/officeDocument/2006/relationships/oleObject" Target="embeddings/Microsoft_Excel_97-2003_Worksheet2.xls"/><Relationship Id="rId1" Type="http://schemas.openxmlformats.org/officeDocument/2006/relationships/customXml" Target="../customXml/item1.xml"/><Relationship Id="rId6" Type="http://schemas.openxmlformats.org/officeDocument/2006/relationships/hyperlink" Target="http://www.taxheaven.gr/laws/law/index/law/660" TargetMode="External"/><Relationship Id="rId11" Type="http://schemas.openxmlformats.org/officeDocument/2006/relationships/hyperlink" Target="http://www.taxheaven.gr/pages/index/page/clips-subscriptio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taxheaven.gr/laws/law/index/law/660"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www.taxheaven.gr/laws/circular/view/id/22036" TargetMode="External"/><Relationship Id="rId14" Type="http://schemas.openxmlformats.org/officeDocument/2006/relationships/package" Target="embeddings/Microsoft_Excel_Worksheet1.xlsx"/><Relationship Id="rId22" Type="http://schemas.openxmlformats.org/officeDocument/2006/relationships/oleObject" Target="embeddings/Microsoft_Excel_97-2003_Worksheet3.xls"/></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E233D-2B41-43B1-85C0-9593AA459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26</Pages>
  <Words>9845</Words>
  <Characters>53166</Characters>
  <Application>Microsoft Office Word</Application>
  <DocSecurity>0</DocSecurity>
  <Lines>443</Lines>
  <Paragraphs>125</Paragraphs>
  <ScaleCrop>false</ScaleCrop>
  <Company>Hewlett-Packard Company</Company>
  <LinksUpToDate>false</LinksUpToDate>
  <CharactersWithSpaces>62886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Nondas</dc:creator>
  <cp:lastModifiedBy>Nondas</cp:lastModifiedBy>
  <cp:revision>6</cp:revision>
  <dcterms:created xsi:type="dcterms:W3CDTF">2016-10-16T19:19:00Z</dcterms:created>
  <dcterms:modified xsi:type="dcterms:W3CDTF">2017-01-26T13:19:00Z</dcterms:modified>
</cp:coreProperties>
</file>